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FClause"/>
        <w:jc w:val="center"/>
      </w:pPr>
      <w:r>
        <w:drawing>
          <wp:inline xmlns:a="http://schemas.openxmlformats.org/drawingml/2006/main" xmlns:pic="http://schemas.openxmlformats.org/drawingml/2006/picture">
            <wp:extent cx="987552" cy="1035804"/>
            <wp:docPr id="1" name="Picture 1" descr="Spirit Floor logó"/>
            <wp:cNvGraphicFramePr>
              <a:graphicFrameLocks noChangeAspect="1"/>
            </wp:cNvGraphicFramePr>
            <a:graphic>
              <a:graphicData uri="http://schemas.openxmlformats.org/drawingml/2006/picture">
                <pic:pic>
                  <pic:nvPicPr>
                    <pic:cNvPr id="0" name="spirit_logo.png"/>
                    <pic:cNvPicPr/>
                  </pic:nvPicPr>
                  <pic:blipFill>
                    <a:blip r:embed="rId11"/>
                    <a:stretch>
                      <a:fillRect/>
                    </a:stretch>
                  </pic:blipFill>
                  <pic:spPr>
                    <a:xfrm>
                      <a:off x="0" y="0"/>
                      <a:ext cx="987552" cy="1035804"/>
                    </a:xfrm>
                    <a:prstGeom prst="rect"/>
                  </pic:spPr>
                </pic:pic>
              </a:graphicData>
            </a:graphic>
          </wp:inline>
        </w:drawing>
      </w:r>
    </w:p>
    <w:p>
      <w:pPr>
        <w:pStyle w:val="SFEyebrow"/>
        <w:jc w:val="center"/>
      </w:pPr>
      <w:r>
        <w:t>SZERZŐDÉSES DOKUMENTÁCIÓ</w:t>
      </w:r>
    </w:p>
    <w:p>
      <w:pPr>
        <w:pStyle w:val="SFClause"/>
        <w:jc w:val="center"/>
      </w:pPr>
      <w:r>
        <w:rPr>
          <w:rFonts w:ascii="Noto Serif Display" w:hAnsi="Noto Serif Display" w:eastAsia="Noto Serif Display"/>
          <w:color w:val="2D2218"/>
          <w:sz w:val="50"/>
        </w:rPr>
        <w:t>Panasz- és hibabejelentési dokumentumcsomag</w:t>
      </w:r>
    </w:p>
    <w:p>
      <w:pPr>
        <w:pStyle w:val="SFLead"/>
        <w:jc w:val="center"/>
      </w:pPr>
      <w:r>
        <w:t>Panaszfelvétel, garanciális hibabejelentés, vizsgálat, válasz, javítás és lezárás</w:t>
      </w:r>
    </w:p>
    <w:p>
      <w:pPr>
        <w:pStyle w:val="SFClause"/>
        <w:jc w:val="center"/>
      </w:pPr>
      <w:r>
        <w:rPr>
          <w:color w:val="F29F05"/>
          <w:sz w:val="16"/>
        </w:rPr>
        <w:t>━━━━━━━━━━━━━━━━━━</w:t>
      </w:r>
    </w:p>
    <w:tbl>
      <w:tblPr>
        <w:tblW w:type="auto" w:w="0"/>
        <w:jc w:val="center"/>
        <w:tblLayout w:type="autofit"/>
        <w:tblLook w:firstColumn="1" w:firstRow="1" w:lastColumn="0" w:lastRow="0" w:noHBand="0" w:noVBand="1" w:val="04A0"/>
      </w:tblPr>
      <w:tblGrid>
        <w:gridCol w:w="4888"/>
        <w:gridCol w:w="4888"/>
      </w:tblGrid>
      <w:tr>
        <w:trPr>
          <w:tblHeader w:val="true"/>
          <w:tblHeader w:val="true"/>
        </w:trPr>
        <w:tc>
          <w:tcPr>
            <w:tcW w:type="dxa" w:w="2520"/>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Dokumentumazonosító</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2D2218"/>
          </w:tcPr>
          <w:p>
            <w:pPr>
              <w:spacing w:after="36" w:line="245" w:lineRule="auto"/>
            </w:pPr>
            <w:r>
              <w:rPr>
                <w:rFonts w:ascii="Inter" w:hAnsi="Inter" w:eastAsia="Inter"/>
                <w:b/>
                <w:color w:val="FFFFFF"/>
                <w:sz w:val="16"/>
              </w:rPr>
              <w:t>SF-JOG-09</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Verzió</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r>
              <w:t>3.0</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Keltezés</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r>
              <w:t>2026. 09. 15.</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Kibocsátó</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b/>
                <w:color w:val="222222"/>
                <w:sz w:val="16"/>
              </w:rPr>
              <w:t>Spirit Floor Kft.</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Weboldal</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b/>
                <w:color w:val="222222"/>
                <w:sz w:val="16"/>
              </w:rPr>
              <w:t>https://spiritfloor.com</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Állapot</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r>
              <w:t>MASTER v3.0 panasz- és hibabejelentési rendszer</w:t>
            </w:r>
          </w:p>
        </w:tc>
      </w:tr>
    </w:tbl>
    <w:p>
      <w:pPr>
        <w:pStyle w:val="SFNote"/>
        <w:shd w:fill="FAF8F5"/>
        <w:pBdr>
          <w:left w:val="single" w:sz="14" w:space="6" w:color="F29F05"/>
        </w:pBdr>
      </w:pPr>
      <w:r>
        <w:rPr>
          <w:b/>
        </w:rPr>
        <w:t xml:space="preserve">Alapelv: </w:t>
      </w:r>
      <w:r>
        <w:t>átlátható feltételek, dokumentált műszaki döntések és egyértelmű felelősségi határok. A fogyasztót megillető kötelező jogokat a dokumentum nem korlátozza.</w:t>
      </w:r>
    </w:p>
    <w:p>
      <w:pPr>
        <w:pStyle w:val="SFClause"/>
        <w:jc w:val="center"/>
      </w:pPr>
      <w:r>
        <w:rPr>
          <w:rFonts w:ascii="Inter" w:hAnsi="Inter"/>
          <w:color w:val="676767"/>
          <w:sz w:val="15"/>
        </w:rPr>
        <w:t>Spirit Floor Kereskedelmi és Szolgáltató Korlátolt Felelősségű Társaság</w:t>
        <w:br/>
        <w:t>2141 Csömör, Boglárka utca 19.  •  kapcsolat@spiritfloor.hu  •  +36 30 931 0990</w:t>
      </w:r>
    </w:p>
    <w:p>
      <w:pPr>
        <w:pStyle w:val="SFClause"/>
      </w:pPr>
      <w:r>
        <w:br w:type="page"/>
      </w:r>
    </w:p>
    <w:p>
      <w:pPr>
        <w:pStyle w:val="Heading1"/>
        <w:pBdr>
          <w:bottom w:val="single" w:sz="8" w:space="3" w:color="F29F05"/>
        </w:pBdr>
      </w:pPr>
      <w:r>
        <w:t>1. Panaszkezelési szabályzat</w:t>
      </w:r>
    </w:p>
    <w:p>
      <w:pPr>
        <w:pStyle w:val="SFClause"/>
        <w:keepLines w:val="0"/>
      </w:pPr>
      <w:r>
        <w:t>1.1. A Spirit Floor Kft. célja, hogy a panaszokat tárgyilagosan, dokumentáltan és a fogyasztó kötelező jogainak tiszteletben tartásával kezelje. A panaszkezelés nem azonos a műszaki hibajavítás teljes folyamatával, de azzal összehangoltan működik.</w:t>
      </w:r>
    </w:p>
    <w:p>
      <w:pPr>
        <w:pStyle w:val="SFClause"/>
        <w:keepLines w:val="0"/>
      </w:pPr>
      <w:r>
        <w:t>1.2. Panasz benyújtható telefonon +36 30 931 0990, e-mailben kapcsolat@spiritfloor.hu, postai úton a 2141 Csömör, Boglárka utca 19. címre, továbbá a weboldali panaszűrlapon. A webes panaszűrlapon beérkező panasz megérkezését a rendszer elektronikus úton haladéktalanul visszaigazolja. Személyes panaszfelvételre előzetesen egyeztetett időpontban kerülhet sor.</w:t>
      </w:r>
    </w:p>
    <w:p>
      <w:pPr>
        <w:pStyle w:val="SFClause"/>
        <w:keepLines w:val="0"/>
      </w:pPr>
      <w:r>
        <w:t>1.3. A szóbeli panaszt a Spirit Floor Kft. azonnal megvizsgálja, és szükség szerint orvosolja. Ha a fogyasztó nem ért egyet, vagy az azonnali vizsgálat nem lehetséges, a panaszról jegyzőkönyv készül, amelynek másolatát személyes panasz esetén átadjuk, telefonos panasz esetén a válasszal együtt megküldjük.</w:t>
      </w:r>
    </w:p>
    <w:p>
      <w:pPr>
        <w:pStyle w:val="SFClause"/>
        <w:keepLines w:val="0"/>
      </w:pPr>
      <w:r>
        <w:t>1.4. Az írásbeli panaszt főszabály szerint 30 napon belül írásban, érdemben és indokolással válaszoljuk meg. Az elutasító válasz tartalmazza a hatósági és békéltető testületi jogorvoslati lehetőséget és az illetékes szervek adatait.</w:t>
      </w:r>
    </w:p>
    <w:p>
      <w:pPr>
        <w:pStyle w:val="SFClause"/>
        <w:keepLines w:val="0"/>
      </w:pPr>
      <w:r>
        <w:t>1.5. A szóbeli panaszról felvett jegyzőkönyvet vagy az írásbeli panaszt, továbbá a panaszra adott érdemi válasz másolati példányát a fogyasztóvédelmi törvény szerint három évig megőrizzük. Ha ugyanazon ügyben szavatossági, jótállási, biztosítási vagy jogi igény is fennáll, az ahhoz kapcsolódó további iratok az adott jogalap és elévülési szabály szerint ennél hosszabb ideig is megőrizhetők.</w:t>
      </w:r>
    </w:p>
    <w:tbl>
      <w:tblPr>
        <w:tblW w:type="auto" w:w="0"/>
        <w:jc w:val="center"/>
        <w:tblLayout w:type="autofit"/>
        <w:tblLook w:firstColumn="1" w:firstRow="1" w:lastColumn="0" w:lastRow="0" w:noHBand="0" w:noVBand="1" w:val="04A0"/>
      </w:tblPr>
      <w:tblGrid>
        <w:gridCol w:w="9752"/>
      </w:tblGrid>
      <w:tr>
        <w:tc>
          <w:tcPr>
            <w:tcW w:type="dxa" w:w="9355"/>
            <w:shd w:fill="E7EDF3"/>
            <w:tcBorders>
              <w:top w:sz="3" w:val="single" w:color="D9D4CE"/>
              <w:left w:sz="3" w:val="single" w:color="D9D4CE"/>
              <w:bottom w:sz="3" w:val="single" w:color="D9D4CE"/>
              <w:right w:sz="3" w:val="single" w:color="D9D4CE"/>
            </w:tcBorders>
            <w:vAlign w:val="center"/>
            <w:tcMar>
              <w:top w:w="70" w:type="dxa"/>
              <w:start w:w="90" w:type="dxa"/>
              <w:bottom w:w="70" w:type="dxa"/>
              <w:end w:w="90" w:type="dxa"/>
            </w:tcMar>
          </w:tcPr>
          <w:p>
            <w:pPr>
              <w:spacing w:after="36" w:line="245" w:lineRule="auto"/>
            </w:pPr>
            <w:r>
              <w:rPr>
                <w:rFonts w:ascii="Inter" w:hAnsi="Inter" w:eastAsia="Inter"/>
                <w:b/>
                <w:color w:val="222222"/>
                <w:sz w:val="16"/>
              </w:rPr>
              <w:t xml:space="preserve">ÜGYFÉLSZOLGÁLATI ELV: </w:t>
            </w:r>
            <w:r>
              <w:rPr>
                <w:rFonts w:ascii="Inter" w:hAnsi="Inter" w:eastAsia="Inter"/>
                <w:color w:val="222222"/>
                <w:sz w:val="16"/>
              </w:rPr>
              <w:t>A panasz bejelentéséhez nem követelhető olyan adat vagy bizonyíték, amely az igény azonosításához és vizsgálatához nem szükséges. A számla hiánya önmagában nem feltétlenül zárja ki az igényt, ha a vásárlás más módon hitelt érdemlően bizonyítható.</w:t>
            </w:r>
          </w:p>
        </w:tc>
      </w:tr>
    </w:tbl>
    <w:p>
      <w:pPr>
        <w:pStyle w:val="SFClause"/>
        <w:spacing w:after="0"/>
      </w:pPr>
    </w:p>
    <w:p>
      <w:pPr>
        <w:pStyle w:val="Heading1"/>
        <w:pBdr>
          <w:bottom w:val="single" w:sz="8" w:space="3" w:color="F29F05"/>
        </w:pBdr>
      </w:pPr>
      <w:r>
        <w:t>2. Panaszbejelentő űrlap</w:t>
      </w:r>
    </w:p>
    <w:p>
      <w:pPr/>
      <w:r>
        <w:t>MINŐSÍTÉSI SZABÁLY: az általános fogyasztói panasz és a hibás teljesítésből eredő igény nem azonos eljárás. Beérkezéskor először el kell dönteni, hogy az ügy általános, Fgytv. szerinti panasz-e, vagy speciális hibás teljesítési/szavatossági/jótállási igény. A speciális igénykezelési jegyzőkönyvben az eljárási ágak egységes jelölése: A – eladott ingó dolog / 19/2014. NGM rendelet; B – 249/2004. Korm. rendelet szerinti javító-karbantartás; C – 181/2003. Korm. rendelet szerinti építési jótállás; D – egyéb kivitelezési hibás teljesítés vagy önkéntes Spirit Floor garancia. Az általános panasz főszabály szerinti 30 napos válaszideje a speciális igény kötelező rövidebb határidejét nem írja felül.</w:t>
      </w:r>
    </w:p>
    <w:tbl>
      <w:tblPr>
        <w:tblW w:type="auto" w:w="0"/>
        <w:jc w:val="center"/>
        <w:tblLayout w:type="autofit"/>
        <w:tblLook w:firstColumn="1" w:firstRow="1" w:lastColumn="0" w:lastRow="0" w:noHBand="0" w:noVBand="1" w:val="04A0"/>
      </w:tblPr>
      <w:tblGrid>
        <w:gridCol w:w="4876"/>
        <w:gridCol w:w="4876"/>
      </w:tblGrid>
      <w:tr>
        <w:trPr>
          <w:tblHeader w:val="true"/>
          <w:tblHeader w:val="true"/>
          <w:tblHeader w:val="true"/>
        </w:trPr>
        <w:tc>
          <w:tcPr>
            <w:tcW w:type="dxa" w:w="2948"/>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Adatmező</w:t>
            </w:r>
          </w:p>
        </w:tc>
        <w:tc>
          <w:tcPr>
            <w:tcW w:type="dxa" w:w="635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Kitöltendő adat</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Panasz ügyszáma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[belső kitöltés]</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Bejelentés dátuma és módja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neve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Címe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E-mail / telefon</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Rendelés / felmérés / projekt azonosító</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Termék vagy szolgáltatás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Teljesítés / átvétel dátuma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Panasz részletes leírása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igénye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Csatolmányok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Sürgős kárelhárítás szükséges?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igen ☐ nem; indok:</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Adatkezelési tájékoztatás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A panasz adatait a Spirit Floor Kft. jogi kötelezettség, szerződés és jogi igény alapján kezeli.</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Kelt / aláírás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bl>
    <w:p>
      <w:pPr>
        <w:pStyle w:val="SFClause"/>
        <w:spacing w:after="0"/>
      </w:pPr>
    </w:p>
    <w:p>
      <w:pPr>
        <w:pStyle w:val="Heading1"/>
        <w:pBdr>
          <w:bottom w:val="single" w:sz="8" w:space="3" w:color="F29F05"/>
        </w:pBdr>
      </w:pPr>
      <w:r>
        <w:t>3. Szóbeli panasz jegyzőkönyve</w:t>
      </w:r>
    </w:p>
    <w:tbl>
      <w:tblPr>
        <w:tblW w:type="auto" w:w="0"/>
        <w:jc w:val="center"/>
        <w:tblLayout w:type="autofit"/>
        <w:tblLook w:firstColumn="1" w:firstRow="1" w:lastColumn="0" w:lastRow="0" w:noHBand="0" w:noVBand="1" w:val="04A0"/>
      </w:tblPr>
      <w:tblGrid>
        <w:gridCol w:w="4876"/>
        <w:gridCol w:w="4876"/>
      </w:tblGrid>
      <w:tr>
        <w:trPr>
          <w:tblHeader w:val="true"/>
          <w:tblHeader w:val="true"/>
          <w:tblHeader w:val="true"/>
        </w:trPr>
        <w:tc>
          <w:tcPr>
            <w:tcW w:type="dxa" w:w="2948"/>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Adatmező</w:t>
            </w:r>
          </w:p>
        </w:tc>
        <w:tc>
          <w:tcPr>
            <w:tcW w:type="dxa" w:w="635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Kitöltendő adat</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Jegyzőkönyv száma / telefonos vagy elektronikus szóbeli panasz egyedi azonosítószáma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Panasz helye, ideje, módja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neve és elérhetősége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Panasz előadásának részletes leírása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által bemutatott iratok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igénye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Vállalkozás azonnali intézkedése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Ha nincs azonnali megoldás, indok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Válaszadás módja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e-mail ☐ postai</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Átadott másolat</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igen, dátum: ___ ☐ válasszal együtt küldendő</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Jegyzőkönyv felvevője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aláírása – személyes panasz</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4876"/>
          </w:tcPr>
          <w:p>
            <w:r>
              <w:t>Fgytv. 17/A. § (5a) figyelmeztetés</w:t>
            </w:r>
          </w:p>
        </w:tc>
        <w:tc>
          <w:tcPr>
            <w:tcW w:type="dxa" w:w="4876"/>
          </w:tcPr>
          <w:p>
            <w:r>
              <w:t>„Ha a jegyzőkönyv felvétele során a fogyasztó a nevét és lakcímét vagy elektronikus levelezési címét, illetve a panasz részletes leírását nem adja meg, vagy – a telefonon vagy egyéb elektronikus hírközlési szolgáltatás útján közölt panasz kivételével – a jegyzőkönyv aláírását megtagadja, a vállalkozás a törvény szerinti írásbeli érdemi válaszadásra vonatkozó eljárást mellőzi.” ☐ közölve</w:t>
            </w:r>
          </w:p>
        </w:tc>
      </w:tr>
    </w:tbl>
    <w:p>
      <w:pPr>
        <w:pStyle w:val="SFClause"/>
        <w:spacing w:after="0"/>
      </w:pPr>
    </w:p>
    <w:p>
      <w:pPr>
        <w:pStyle w:val="Heading1"/>
        <w:pBdr>
          <w:bottom w:val="single" w:sz="8" w:space="3" w:color="F29F05"/>
        </w:pBdr>
      </w:pPr>
      <w:r>
        <w:t>4. Írásbeli panaszra adott válasz sablonja</w:t>
      </w:r>
    </w:p>
    <w:p>
      <w:pPr>
        <w:pStyle w:val="SFClause"/>
        <w:keepLines w:val="0"/>
      </w:pPr>
      <w:r>
        <w:t>Tárgy: Válasz panaszára – [ügyszám / rendelésazonosító]</w:t>
      </w:r>
    </w:p>
    <w:p>
      <w:pPr>
        <w:pStyle w:val="SFClause"/>
        <w:keepLines w:val="0"/>
      </w:pPr>
      <w:r>
        <w:t>„Tisztelt [Név]! A Spirit Floor Kft. [dátum] napján fogadta [tárgy] tárgyú panaszát. A panaszban foglaltakat az alábbi dokumentumok és körülmények alapján vizsgáltuk: [felsorolás]. Megállapításaink: [tényállás és műszaki/jogi indok]. Döntésünk: [elfogadás / részbeni elfogadás / elutasítás]. Intézkedés, határidő és felelős: [adatok].”</w:t>
      </w:r>
    </w:p>
    <w:p>
      <w:pPr>
        <w:pStyle w:val="SFClause"/>
        <w:keepLines w:val="0"/>
      </w:pPr>
      <w:r>
        <w:t>Elutasítás esetén kötelező kiegészítés: „Amennyiben válaszunkat nem fogadja el, fogyasztói jogvita rendezése érdekében békéltető testülethez fordulhat. Az Ön lakóhelye vagy tartózkodási helye szerint illetékes, illetve választása szerint igénybe vehető békéltető testület aktuális neve, székhelye, levelezési címe, telefonos és internetes elérhetősége: [A FOGYASZTÓ ADATAI ALAPJÁN DINAMIKUSAN KITÖLTENDŐ]. A Spirit Floor Kft. a békéltető testületi eljárásban a jogszabály szerint együttműködik. A Spirit Floor Kft. 36/C. § (1) szerinti általános alávetési nyilatkozatának státusza a válaszadás napján: [TETT / NEM TETT – DINAMIKUSAN KITÖLTENDŐ]. Fogyasztóvédelmi hatósági ügyben az illetékes kormányhivatalhoz fordulhat.”</w:t>
      </w:r>
    </w:p>
    <w:tbl>
      <w:tblPr>
        <w:tblW w:type="auto" w:w="0"/>
        <w:jc w:val="center"/>
        <w:tblLayout w:type="autofit"/>
        <w:tblLook w:firstColumn="1" w:firstRow="1" w:lastColumn="0" w:lastRow="0" w:noHBand="0" w:noVBand="1" w:val="04A0"/>
      </w:tblPr>
      <w:tblGrid>
        <w:gridCol w:w="9752"/>
      </w:tblGrid>
      <w:tr>
        <w:tc>
          <w:tcPr>
            <w:tcW w:type="dxa" w:w="9355"/>
            <w:shd w:fill="FCE4D6"/>
            <w:tcBorders>
              <w:top w:sz="3" w:val="single" w:color="D9D4CE"/>
              <w:left w:sz="3" w:val="single" w:color="D9D4CE"/>
              <w:bottom w:sz="3" w:val="single" w:color="D9D4CE"/>
              <w:right w:sz="3" w:val="single" w:color="D9D4CE"/>
            </w:tcBorders>
            <w:vAlign w:val="center"/>
            <w:tcMar>
              <w:top w:w="70" w:type="dxa"/>
              <w:start w:w="90" w:type="dxa"/>
              <w:bottom w:w="70" w:type="dxa"/>
              <w:end w:w="90" w:type="dxa"/>
            </w:tcMar>
          </w:tcPr>
          <w:p>
            <w:pPr>
              <w:spacing w:after="36" w:line="245" w:lineRule="auto"/>
            </w:pPr>
            <w:r>
              <w:rPr>
                <w:rFonts w:ascii="Inter" w:hAnsi="Inter" w:eastAsia="Inter"/>
                <w:b/>
                <w:color w:val="222222"/>
                <w:sz w:val="16"/>
              </w:rPr>
              <w:t xml:space="preserve">TILOS: </w:t>
            </w:r>
            <w:r>
              <w:rPr>
                <w:rFonts w:ascii="Inter" w:hAnsi="Inter" w:eastAsia="Inter"/>
                <w:color w:val="222222"/>
                <w:sz w:val="16"/>
              </w:rPr>
              <w:t>Elutasító válasz nem állhat általános mondatokból, például „nem garanciális” vagy „nem a mi hibánk”. A döntést a konkrét tényekkel, szerződéses és műszaki alappal, bizonyítékokkal és jogorvoslati tájékoztatással kell indokolni.</w:t>
            </w:r>
          </w:p>
        </w:tc>
      </w:tr>
    </w:tbl>
    <w:p>
      <w:pPr>
        <w:pStyle w:val="SFClause"/>
        <w:spacing w:after="0"/>
      </w:pPr>
    </w:p>
    <w:p>
      <w:pPr>
        <w:pStyle w:val="Heading1"/>
        <w:pBdr>
          <w:bottom w:val="single" w:sz="8" w:space="3" w:color="F29F05"/>
        </w:pBdr>
      </w:pPr>
      <w:r>
        <w:t>5. Hibás teljesítési / szavatossági / jótállási igénybejelentő</w:t>
      </w:r>
    </w:p>
    <w:tbl>
      <w:tblPr>
        <w:tblW w:type="auto" w:w="0"/>
        <w:jc w:val="center"/>
        <w:tblLayout w:type="autofit"/>
        <w:tblLook w:firstColumn="1" w:firstRow="1" w:lastColumn="0" w:lastRow="0" w:noHBand="0" w:noVBand="1" w:val="04A0"/>
      </w:tblPr>
      <w:tblGrid>
        <w:gridCol w:w="4876"/>
        <w:gridCol w:w="4876"/>
      </w:tblGrid>
      <w:tr>
        <w:trPr>
          <w:tblHeader w:val="true"/>
          <w:tblHeader w:val="true"/>
          <w:tblHeader w:val="true"/>
        </w:trPr>
        <w:tc>
          <w:tcPr>
            <w:tcW w:type="dxa" w:w="2948"/>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Adatmező</w:t>
            </w:r>
          </w:p>
        </w:tc>
        <w:tc>
          <w:tcPr>
            <w:tcW w:type="dxa" w:w="635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Kitöltendő adat</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Ügyszám</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[belső]</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neve, címe, elérhetősége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Rendelés/projekt azonosító</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Termék/szolgáltatás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Átvétel/teljesítés dátuma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Hiba és észlelés időpontja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Hiba részletes leírása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Használati és környezeti körülmények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Korábbi beavatkozás/javítás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r>
              <w:t>Fogyasztó által érvényesíteni kívánt igény – jogcím szerint</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r>
              <w:t>Áru esetén: □ kijavítás □ kicserélés □ árleszállítás □ szerződés megszüntetése. Szolgáltatás/kivitelezés esetén: □ kijavítás □ árleszállítás □ szerződés megszüntetése / egyéb Ptk. szerinti jogkövetkezmény. Egyéb: [KITÖLTENDŐ].</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Átadott iratok és fotók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Termék rendelkezésre áll vizsgálatra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igen ☐ nem; hely:</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Bejelentés felvevője / dátum</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bl>
    <w:p>
      <w:pPr>
        <w:pStyle w:val="SFClause"/>
        <w:spacing w:after="0"/>
      </w:pPr>
    </w:p>
    <w:p>
      <w:pPr>
        <w:pStyle w:val="Heading1"/>
        <w:pBdr>
          <w:bottom w:val="single" w:sz="8" w:space="3" w:color="F29F05"/>
        </w:pBdr>
      </w:pPr>
      <w:r>
        <w:t>6. Igénykezelési jegyzőkönyv és döntés – jogcím szerinti eljárási ág</w:t>
      </w:r>
    </w:p>
    <w:tbl>
      <w:tblPr>
        <w:tblW w:type="auto" w:w="0"/>
        <w:jc w:val="center"/>
        <w:tblLayout w:type="autofit"/>
        <w:tblLook w:firstColumn="1" w:firstRow="1" w:lastColumn="0" w:lastRow="0" w:noHBand="0" w:noVBand="1" w:val="04A0"/>
      </w:tblPr>
      <w:tblGrid>
        <w:gridCol w:w="4876"/>
        <w:gridCol w:w="4876"/>
      </w:tblGrid>
      <w:tr>
        <w:trPr>
          <w:tblHeader w:val="true"/>
          <w:tblHeader w:val="true"/>
          <w:tblHeader w:val="true"/>
        </w:trPr>
        <w:tc>
          <w:tcPr>
            <w:tcW w:type="dxa" w:w="2948"/>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Adatmező</w:t>
            </w:r>
          </w:p>
        </w:tc>
        <w:tc>
          <w:tcPr>
            <w:tcW w:type="dxa" w:w="635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Kitöltendő adat</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Ügyszám és bejelentés dátuma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Igény jogcíme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kellékszavatosság ☐ termékszavatosság ☐ kötelező jótállás ☐ gyártói garancia ☐ kivitelezési hiba</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Hiba vizsgálatának ideje/helye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Jelenlévők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Vizsgálati módszer és eszköz</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Ténymegállapítás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Gyártói dokumentum / szabvány / szerződés hivatkozása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Ok és felelősségi kör</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Igény elfogadása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igen ☐ részben ☐ nem</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Döntés részletes indoka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Intézkedés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Határidő</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Felelős</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Átadott másolat / közlés módja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4876"/>
          </w:tcPr>
          <w:p>
            <w:r>
              <w:t>Fogyasztó neve és címe</w:t>
            </w:r>
          </w:p>
        </w:tc>
        <w:tc>
          <w:tcPr>
            <w:tcW w:type="dxa" w:w="4876"/>
          </w:tcPr>
          <w:p>
            <w:r/>
          </w:p>
        </w:tc>
      </w:tr>
      <w:tr>
        <w:tc>
          <w:tcPr>
            <w:tcW w:type="dxa" w:w="4876"/>
          </w:tcPr>
          <w:p>
            <w:r>
              <w:t>Fogyasztó elérhetősége</w:t>
            </w:r>
          </w:p>
        </w:tc>
        <w:tc>
          <w:tcPr>
            <w:tcW w:type="dxa" w:w="4876"/>
          </w:tcPr>
          <w:p>
            <w:r/>
          </w:p>
        </w:tc>
      </w:tr>
      <w:tr>
        <w:tc>
          <w:tcPr>
            <w:tcW w:type="dxa" w:w="4876"/>
          </w:tcPr>
          <w:p>
            <w:r>
              <w:t>Ingó termék megnevezése / azonosítója – csak A ágban kötelező</w:t>
            </w:r>
          </w:p>
        </w:tc>
        <w:tc>
          <w:tcPr>
            <w:tcW w:type="dxa" w:w="4876"/>
          </w:tcPr>
          <w:p>
            <w:r/>
          </w:p>
        </w:tc>
      </w:tr>
      <w:tr>
        <w:tc>
          <w:tcPr>
            <w:tcW w:type="dxa" w:w="4876"/>
          </w:tcPr>
          <w:p>
            <w:r>
              <w:t>Ingó termék vételára – csak A ágban kötelező</w:t>
            </w:r>
          </w:p>
        </w:tc>
        <w:tc>
          <w:tcPr>
            <w:tcW w:type="dxa" w:w="4876"/>
          </w:tcPr>
          <w:p>
            <w:r>
              <w:t>[KITÖLTENDŐ] Ft</w:t>
            </w:r>
          </w:p>
        </w:tc>
      </w:tr>
      <w:tr>
        <w:tc>
          <w:tcPr>
            <w:tcW w:type="dxa" w:w="4876"/>
          </w:tcPr>
          <w:p>
            <w:r>
              <w:t>Szerződéskötés / teljesítés időpontja</w:t>
            </w:r>
          </w:p>
        </w:tc>
        <w:tc>
          <w:tcPr>
            <w:tcW w:type="dxa" w:w="4876"/>
          </w:tcPr>
          <w:p>
            <w:r/>
          </w:p>
        </w:tc>
      </w:tr>
      <w:tr>
        <w:tc>
          <w:tcPr>
            <w:tcW w:type="dxa" w:w="4876"/>
          </w:tcPr>
          <w:p>
            <w:r>
              <w:t>Hiba bejelentésének időpontja</w:t>
            </w:r>
          </w:p>
        </w:tc>
        <w:tc>
          <w:tcPr>
            <w:tcW w:type="dxa" w:w="4876"/>
          </w:tcPr>
          <w:p>
            <w:r/>
          </w:p>
        </w:tc>
      </w:tr>
      <w:tr>
        <w:tc>
          <w:tcPr>
            <w:tcW w:type="dxa" w:w="4876"/>
          </w:tcPr>
          <w:p>
            <w:r>
              <w:t>Hiba részletes leírása</w:t>
            </w:r>
          </w:p>
        </w:tc>
        <w:tc>
          <w:tcPr>
            <w:tcW w:type="dxa" w:w="4876"/>
          </w:tcPr>
          <w:p>
            <w:r/>
          </w:p>
        </w:tc>
      </w:tr>
      <w:tr>
        <w:tc>
          <w:tcPr>
            <w:tcW w:type="dxa" w:w="4876"/>
          </w:tcPr>
          <w:p>
            <w:r>
              <w:t>Fogyasztó által érvényesíteni kívánt jog – jogcím szerint</w:t>
            </w:r>
          </w:p>
        </w:tc>
        <w:tc>
          <w:tcPr>
            <w:tcW w:type="dxa" w:w="4876"/>
          </w:tcPr>
          <w:p>
            <w:r>
              <w:t>Áru: □ kijavítás □ kicserélés □ árleszállítás □ megszüntetés. Szolgáltatás/kivitelezés: □ kijavítás □ árleszállítás □ megszüntetés / egyéb alkalmazandó jogkövetkezmény. Egyéb: [KITÖLTENDŐ].</w:t>
            </w:r>
          </w:p>
        </w:tc>
      </w:tr>
      <w:tr>
        <w:tc>
          <w:tcPr>
            <w:tcW w:type="dxa" w:w="4876"/>
          </w:tcPr>
          <w:p>
            <w:r>
              <w:t>Eltérő teljesítés indoka, ha a választott igénytől eltérünk</w:t>
            </w:r>
          </w:p>
        </w:tc>
        <w:tc>
          <w:tcPr>
            <w:tcW w:type="dxa" w:w="4876"/>
          </w:tcPr>
          <w:p>
            <w:r/>
          </w:p>
        </w:tc>
      </w:tr>
      <w:tr>
        <w:tc>
          <w:tcPr>
            <w:tcW w:type="dxa" w:w="4876"/>
          </w:tcPr>
          <w:p>
            <w:r>
              <w:t>Békéltető testületi tájékoztatás megtörtént</w:t>
            </w:r>
          </w:p>
        </w:tc>
        <w:tc>
          <w:tcPr>
            <w:tcW w:type="dxa" w:w="4876"/>
          </w:tcPr>
          <w:p>
            <w:r>
              <w:t>☐ igen</w:t>
            </w:r>
          </w:p>
        </w:tc>
      </w:tr>
      <w:tr>
        <w:tc>
          <w:tcPr>
            <w:tcW w:type="dxa" w:w="4876"/>
          </w:tcPr>
          <w:p>
            <w:r>
              <w:t>Jegyzőkönyv másolata átadva / megküldve</w:t>
            </w:r>
          </w:p>
        </w:tc>
        <w:tc>
          <w:tcPr>
            <w:tcW w:type="dxa" w:w="4876"/>
          </w:tcPr>
          <w:p>
            <w:r>
              <w:t>☐ igen; mód/időpont: [KITÖLTENDŐ]</w:t>
            </w:r>
          </w:p>
        </w:tc>
      </w:tr>
      <w:tr>
        <w:tc>
          <w:tcPr>
            <w:tcW w:type="dxa" w:w="4876"/>
          </w:tcPr>
          <w:p>
            <w:r>
              <w:t>19/2014. szerinti 8 napos értesítés – kizárólag A ágban, ha bejelentéskor nincs döntés</w:t>
            </w:r>
          </w:p>
        </w:tc>
        <w:tc>
          <w:tcPr>
            <w:tcW w:type="dxa" w:w="4876"/>
          </w:tcPr>
          <w:p>
            <w:r>
              <w:t>Határidő: [KITÖLTENDŐ]; közlés igazolása: [KITÖLTENDŐ]</w:t>
            </w:r>
          </w:p>
        </w:tc>
      </w:tr>
      <w:tr>
        <w:tc>
          <w:tcPr>
            <w:tcW w:type="dxa" w:w="4876"/>
          </w:tcPr>
          <w:p>
            <w:r>
              <w:t>Megőrzés</w:t>
            </w:r>
          </w:p>
        </w:tc>
        <w:tc>
          <w:tcPr>
            <w:tcW w:type="dxa" w:w="4876"/>
          </w:tcPr>
          <w:p>
            <w:r>
              <w:t>A jegyzőkönyv felvételétől számított 3 év</w:t>
            </w:r>
          </w:p>
        </w:tc>
      </w:tr>
      <w:tr>
        <w:tc>
          <w:tcPr>
            <w:tcW w:type="dxa" w:w="4876"/>
          </w:tcPr>
          <w:p>
            <w:r>
              <w:t>Eljárási ág</w:t>
            </w:r>
          </w:p>
        </w:tc>
        <w:tc>
          <w:tcPr>
            <w:tcW w:type="dxa" w:w="4876"/>
          </w:tcPr>
          <w:p>
            <w:r>
              <w:t>☐ A – ingó termék / 19/2014. NGM  ☐ B – 249/2004. javító-karbantartás  ☐ C – 181/2003. építési jótállás  ☐ D – egyéb kivitelezési hibás teljesítés / önkéntes garancia</w:t>
            </w:r>
          </w:p>
        </w:tc>
      </w:tr>
      <w:tr>
        <w:tc>
          <w:tcPr>
            <w:tcW w:type="dxa" w:w="4876"/>
          </w:tcPr>
          <w:p>
            <w:r>
              <w:t>Speciális döntési/értesítési határidő</w:t>
            </w:r>
          </w:p>
        </w:tc>
        <w:tc>
          <w:tcPr>
            <w:tcW w:type="dxa" w:w="4876"/>
          </w:tcPr>
          <w:p>
            <w:r>
              <w:t>A ág: ha bejelentéskor nem dönthető el, 8 napon belüli igazolható értesítés. B ág: ha bejelentéskor nem dönthető el, 5 munkanapon belüli igazolható értesítés. C ág: a bejelentett jótállási igény alapján 15 napon belül vizsgálat és nyilatkozat. D ág: Ptk., szerződés és önkéntes garancia szerinti észszerű, dokumentált ügyintézés.</w:t>
            </w:r>
          </w:p>
        </w:tc>
      </w:tr>
      <w:tr>
        <w:tc>
          <w:tcPr>
            <w:tcW w:type="dxa" w:w="4876"/>
          </w:tcPr>
          <w:p>
            <w:r>
              <w:t>373/2021. 13. § szerinti előzetes tájékoztatás – A ágban, 2026. július 31. után kötött áru-adásvételnél</w:t>
            </w:r>
          </w:p>
        </w:tc>
        <w:tc>
          <w:tcPr>
            <w:tcW w:type="dxa" w:w="4876"/>
          </w:tcPr>
          <w:p>
            <w:r>
              <w:t>☐ kijavítás/kicserélés választásáról tájékoztatva  ☐ kijavítás esetén az elévülési idő egyszeri 12 hónapos meghosszabbodásáról tájékoztatva</w:t>
            </w:r>
          </w:p>
        </w:tc>
      </w:tr>
      <w:tr>
        <w:tc>
          <w:tcPr>
            <w:tcW w:type="dxa" w:w="4876"/>
          </w:tcPr>
          <w:p>
            <w:r>
              <w:t>Szerződésszerűvé tétel választott módja – ha a 373/2021. szabálya alkalmazandó</w:t>
            </w:r>
          </w:p>
        </w:tc>
        <w:tc>
          <w:tcPr>
            <w:tcW w:type="dxa" w:w="4876"/>
          </w:tcPr>
          <w:p>
            <w:r>
              <w:t>☐ kijavítás  ☐ kicserélés; felújított áruval történő kicserélés csak a fogyasztó kifejezett kérésére</w:t>
            </w:r>
          </w:p>
        </w:tc>
      </w:tr>
      <w:tr>
        <w:tc>
          <w:tcPr>
            <w:tcW w:type="dxa" w:w="4876"/>
          </w:tcPr>
          <w:p>
            <w:r>
              <w:t>B ág – szolgáltatás teljes díja (áfával és anyagköltséggel)</w:t>
            </w:r>
          </w:p>
        </w:tc>
        <w:tc>
          <w:tcPr>
            <w:tcW w:type="dxa" w:w="4876"/>
          </w:tcPr>
          <w:p>
            <w:r>
              <w:t>[KITÖLTENDŐ] Ft</w:t>
            </w:r>
          </w:p>
        </w:tc>
      </w:tr>
      <w:tr>
        <w:tc>
          <w:tcPr>
            <w:tcW w:type="dxa" w:w="4876"/>
          </w:tcPr>
          <w:p>
            <w:r>
              <w:t>B ág – javításra/karbantartásra átvett dolog megnevezése és azonosítója</w:t>
            </w:r>
          </w:p>
        </w:tc>
        <w:tc>
          <w:tcPr>
            <w:tcW w:type="dxa" w:w="4876"/>
          </w:tcPr>
          <w:p>
            <w:r>
              <w:t>[KITÖLTENDŐ / nem alkalmazandó]</w:t>
            </w:r>
          </w:p>
        </w:tc>
      </w:tr>
      <w:tr>
        <w:tc>
          <w:tcPr>
            <w:tcW w:type="dxa" w:w="4876"/>
          </w:tcPr>
          <w:p>
            <w:r>
              <w:t>B ág – dolog átvételének helye és időpontja</w:t>
            </w:r>
          </w:p>
        </w:tc>
        <w:tc>
          <w:tcPr>
            <w:tcW w:type="dxa" w:w="4876"/>
          </w:tcPr>
          <w:p>
            <w:r>
              <w:t>[KITÖLTENDŐ / nem alkalmazandó]</w:t>
            </w:r>
          </w:p>
        </w:tc>
      </w:tr>
      <w:tr>
        <w:tc>
          <w:tcPr>
            <w:tcW w:type="dxa" w:w="4876"/>
          </w:tcPr>
          <w:p>
            <w:r>
              <w:t>B ág – tervezett visszaadás / szolgáltatás befejezésének időpontja</w:t>
            </w:r>
          </w:p>
        </w:tc>
        <w:tc>
          <w:tcPr>
            <w:tcW w:type="dxa" w:w="4876"/>
          </w:tcPr>
          <w:p>
            <w:r>
              <w:t>[KITÖLTENDŐ / nem alkalmazandó]</w:t>
            </w:r>
          </w:p>
        </w:tc>
      </w:tr>
      <w:tr>
        <w:tc>
          <w:tcPr>
            <w:tcW w:type="dxa" w:w="4876"/>
          </w:tcPr>
          <w:p>
            <w:r>
              <w:t>B ág – kötelező jótállási jegy kiadása</w:t>
            </w:r>
          </w:p>
        </w:tc>
        <w:tc>
          <w:tcPr>
            <w:tcW w:type="dxa" w:w="4876"/>
          </w:tcPr>
          <w:p>
            <w:r>
              <w:t>□ átadva  □ nem alkalmazandó; dátum/mód: [KITÖLTENDŐ]</w:t>
            </w:r>
          </w:p>
        </w:tc>
      </w:tr>
      <w:tr>
        <w:tc>
          <w:tcPr>
            <w:tcW w:type="dxa" w:w="4876"/>
          </w:tcPr>
          <w:p>
            <w:r>
              <w:t>A ág – javítószolgálat bevonása</w:t>
            </w:r>
          </w:p>
        </w:tc>
        <w:tc>
          <w:tcPr>
            <w:tcW w:type="dxa" w:w="4876"/>
          </w:tcPr>
          <w:p>
            <w:r>
              <w:t>□ nem  □ igen; javítószolgálat neve/elérhetősége: [KITÖLTENDŐ]; átadás/értesítés időpontja: [KITÖLTENDŐ]</w:t>
            </w:r>
          </w:p>
        </w:tc>
      </w:tr>
      <w:tr>
        <w:tc>
          <w:tcPr>
            <w:tcW w:type="dxa" w:w="4876"/>
          </w:tcPr>
          <w:p>
            <w:r>
              <w:t>A ág – javítószolgálat 8 napos státuszértesítése</w:t>
            </w:r>
          </w:p>
        </w:tc>
        <w:tc>
          <w:tcPr>
            <w:tcW w:type="dxa" w:w="4876"/>
          </w:tcPr>
          <w:p>
            <w:r>
              <w:t>□ nem javítható  □ javítás várhatóan 15 napnál hosszabb, várható idő: [KITÖLTENDŐ]  □ javítás 30 napon belül nem lehetséges  □ nem merült fel ilyen körülmény; értesítés igazolása: [KITÖLTENDŐ]</w:t>
            </w:r>
          </w:p>
        </w:tc>
      </w:tr>
      <w:tr>
        <w:tc>
          <w:tcPr>
            <w:tcW w:type="dxa" w:w="4876"/>
          </w:tcPr>
          <w:p>
            <w:r>
              <w:t>A ág – fogyasztó haladéktalan tájékoztatása a javítószolgálat értesítése után</w:t>
            </w:r>
          </w:p>
        </w:tc>
        <w:tc>
          <w:tcPr>
            <w:tcW w:type="dxa" w:w="4876"/>
          </w:tcPr>
          <w:p>
            <w:r>
              <w:t>□ megtörtént; mód/időpont: [KITÖLTENDŐ]  □ nem alkalmazandó</w:t>
            </w:r>
          </w:p>
        </w:tc>
      </w:tr>
      <w:tr>
        <w:tc>
          <w:tcPr>
            <w:tcW w:type="dxa" w:w="4876"/>
          </w:tcPr>
          <w:p>
            <w:r>
              <w:t>A ág – 15 napot meghaladó kijavítás/kicserélés</w:t>
            </w:r>
          </w:p>
        </w:tc>
        <w:tc>
          <w:tcPr>
            <w:tcW w:type="dxa" w:w="4876"/>
          </w:tcPr>
          <w:p>
            <w:r>
              <w:t>□ nem  □ igen; fogyasztó tájékoztatva a várható időtartamról, igazolás: [KITÖLTENDŐ]</w:t>
            </w:r>
          </w:p>
        </w:tc>
      </w:tr>
      <w:tr>
        <w:tc>
          <w:tcPr>
            <w:tcW w:type="dxa" w:w="4876"/>
          </w:tcPr>
          <w:p>
            <w:r>
              <w:t>A ág – kijavításra/vizsgálatra átvett dolog elismervénye</w:t>
            </w:r>
          </w:p>
        </w:tc>
        <w:tc>
          <w:tcPr>
            <w:tcW w:type="dxa" w:w="4876"/>
          </w:tcPr>
          <w:p>
            <w:r>
              <w:t>Fogyasztó neve/címe, dolog azonosítója, átvétel időpontja és tervezett visszaadás/átvétel időpontja: [KITÖLTENDŐ / nem alkalmazandó]</w:t>
            </w:r>
          </w:p>
        </w:tc>
      </w:tr>
      <w:tr>
        <w:tc>
          <w:tcPr>
            <w:tcW w:type="dxa" w:w="4876"/>
          </w:tcPr>
          <w:p>
            <w:r>
              <w:t>151/2003. kötelező jótállási speciális kapu – csak 10/2024. IM listás terméknél</w:t>
            </w:r>
          </w:p>
        </w:tc>
        <w:tc>
          <w:tcPr>
            <w:tcW w:type="dxa" w:w="4876"/>
          </w:tcPr>
          <w:p>
            <w:r>
              <w:t>□ személyi hatály ellenőrizve (természetes személy / érintett MKKV)  □ 10/2024. IM terméklista-találat dokumentálva  □ értékhatár ellenőrizve  □ 3 munkanapon belüli csereigény ellenőrizve  □ nem javítható termék 8 napos csere/visszatérítés szabálya ellenőrizve  □ három kijavítás utáni ismételt hiba szabálya ellenőrizve  □ 30 napon belül el nem végzett kijavítás szabálya ellenőrizve  □ nem alkalmazandó</w:t>
            </w:r>
          </w:p>
        </w:tc>
      </w:tr>
      <w:tr>
        <w:tc>
          <w:tcPr>
            <w:tcW w:type="dxa" w:w="4876"/>
          </w:tcPr>
          <w:p>
            <w:r>
              <w:t>151/2003. jótállási jegy javítási/csere-bejegyzése – ha alkalmazandó</w:t>
            </w:r>
          </w:p>
        </w:tc>
        <w:tc>
          <w:tcPr>
            <w:tcW w:type="dxa" w:w="4876"/>
          </w:tcPr>
          <w:p>
            <w:r>
              <w:t>□ bejelentés és javításra átvétel ideje, hiba oka, javítás módja, visszaadás ideje rögzítve  □ csere ténye/időpontja rögzítve  □ nem alkalmazandó</w:t>
            </w:r>
          </w:p>
        </w:tc>
      </w:tr>
    </w:tbl>
    <w:p>
      <w:pPr>
        <w:pStyle w:val="SFClause"/>
        <w:spacing w:after="0"/>
      </w:pPr>
    </w:p>
    <w:p>
      <w:pPr>
        <w:pStyle w:val="Heading1"/>
        <w:pBdr>
          <w:bottom w:val="single" w:sz="8" w:space="3" w:color="F29F05"/>
        </w:pBdr>
      </w:pPr>
      <w:r>
        <w:t>7. Közérthető szavatossági tájékoztató</w:t>
      </w:r>
    </w:p>
    <w:tbl>
      <w:tblPr>
        <w:tblW w:type="auto" w:w="0"/>
        <w:jc w:val="center"/>
        <w:tblLayout w:type="autofit"/>
        <w:tblLook w:firstColumn="1" w:firstRow="1" w:lastColumn="0" w:lastRow="0" w:noHBand="0" w:noVBand="1" w:val="04A0"/>
      </w:tblPr>
      <w:tblGrid>
        <w:gridCol w:w="2438"/>
        <w:gridCol w:w="2438"/>
        <w:gridCol w:w="2438"/>
        <w:gridCol w:w="2438"/>
      </w:tblGrid>
      <w:tr>
        <w:trPr>
          <w:tblHeader w:val="true"/>
          <w:tblHeader w:val="true"/>
          <w:tblHeader w:val="true"/>
          <w:tblHeader w:val="true"/>
          <w:tblHeader w:val="true"/>
        </w:trPr>
        <w:tc>
          <w:tcPr>
            <w:tcW w:type="dxa" w:w="1814"/>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Jogintézmény</w:t>
            </w:r>
          </w:p>
        </w:tc>
        <w:tc>
          <w:tcPr>
            <w:tcW w:type="dxa" w:w="1701"/>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Kivel szemben</w:t>
            </w:r>
          </w:p>
        </w:tc>
        <w:tc>
          <w:tcPr>
            <w:tcW w:type="dxa" w:w="3061"/>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Mire vonatkozik</w:t>
            </w:r>
          </w:p>
        </w:tc>
        <w:tc>
          <w:tcPr>
            <w:tcW w:type="dxa" w:w="2721"/>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Fő fogyasztói lehetőség</w:t>
            </w:r>
          </w:p>
        </w:tc>
      </w:tr>
      <w:tr>
        <w:tc>
          <w:tcPr>
            <w:tcW w:type="dxa" w:w="181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Kellékszavatosság</w:t>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Eladó / szolgáltató</w:t>
            </w:r>
          </w:p>
        </w:tc>
        <w:tc>
          <w:tcPr>
            <w:tcW w:type="dxa" w:w="306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A teljesítéskor fennálló hiba</w:t>
            </w:r>
          </w:p>
        </w:tc>
        <w:tc>
          <w:tcPr>
            <w:tcW w:type="dxa" w:w="272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Elsődlegesen kijavítás vagy csere; feltételekkel árleszállítás vagy megszüntetés.</w:t>
            </w:r>
          </w:p>
        </w:tc>
      </w:tr>
      <w:tr>
        <w:tc>
          <w:tcPr>
            <w:tcW w:type="dxa" w:w="181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Termékszavatosság</w:t>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Gyártó / forgalmazó</w:t>
            </w:r>
          </w:p>
        </w:tc>
        <w:tc>
          <w:tcPr>
            <w:tcW w:type="dxa" w:w="306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Ingó termék hibája</w:t>
            </w:r>
          </w:p>
        </w:tc>
        <w:tc>
          <w:tcPr>
            <w:tcW w:type="dxa" w:w="272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Kijavítás vagy csere a törvényi feltételekkel.</w:t>
            </w:r>
          </w:p>
        </w:tc>
      </w:tr>
      <w:tr>
        <w:tc>
          <w:tcPr>
            <w:tcW w:type="dxa" w:w="181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Kötelező jótállás</w:t>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Jogszabály szerinti kötelezett</w:t>
            </w:r>
          </w:p>
        </w:tc>
        <w:tc>
          <w:tcPr>
            <w:tcW w:type="dxa" w:w="306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r>
              <w:t>Az alkalmazandó jogszabály hatálya alá tartozó termék, javító-karbantartó szolgáltatás vagy építési elem.</w:t>
            </w:r>
          </w:p>
        </w:tc>
        <w:tc>
          <w:tcPr>
            <w:tcW w:type="dxa" w:w="272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r>
              <w:t>Az adott kötelező jótállási jogszabály szerinti jogok, bizonyítási és igényérvényesítési szabályok.</w:t>
            </w:r>
          </w:p>
        </w:tc>
      </w:tr>
      <w:tr>
        <w:tc>
          <w:tcPr>
            <w:tcW w:type="dxa" w:w="181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Önkéntes gyártói garancia</w:t>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Garancianyilatkozat szerinti vállaló</w:t>
            </w:r>
          </w:p>
        </w:tc>
        <w:tc>
          <w:tcPr>
            <w:tcW w:type="dxa" w:w="306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A garancia feltételeiben meghatározott kör</w:t>
            </w:r>
          </w:p>
        </w:tc>
        <w:tc>
          <w:tcPr>
            <w:tcW w:type="dxa" w:w="272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Nem csökkentheti a kötelező szavatossági jogokat.</w:t>
            </w:r>
          </w:p>
        </w:tc>
      </w:tr>
      <w:tr>
        <w:tc>
          <w:tcPr>
            <w:tcW w:type="dxa" w:w="181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Kivitelezési hibás teljesítés</w:t>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Vállalkozó</w:t>
            </w:r>
          </w:p>
        </w:tc>
        <w:tc>
          <w:tcPr>
            <w:tcW w:type="dxa" w:w="306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A szerződéses műszaki tartalom hibája</w:t>
            </w:r>
          </w:p>
        </w:tc>
        <w:tc>
          <w:tcPr>
            <w:tcW w:type="dxa" w:w="272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Kijavítás, arányos jogkövetkezmény; részletesen az egyedi kivitelezési szerződés szerint.</w:t>
            </w:r>
          </w:p>
        </w:tc>
      </w:tr>
    </w:tbl>
    <w:p>
      <w:pPr>
        <w:pStyle w:val="SFClause"/>
        <w:spacing w:after="0"/>
      </w:pPr>
    </w:p>
    <w:tbl>
      <w:tblPr>
        <w:tblW w:type="auto" w:w="0"/>
        <w:jc w:val="center"/>
        <w:tblLayout w:type="autofit"/>
        <w:tblLook w:firstColumn="1" w:firstRow="1" w:lastColumn="0" w:lastRow="0" w:noHBand="0" w:noVBand="1" w:val="04A0"/>
      </w:tblPr>
      <w:tblGrid>
        <w:gridCol w:w="9752"/>
      </w:tblGrid>
      <w:tr>
        <w:tc>
          <w:tcPr>
            <w:tcW w:type="dxa" w:w="9355"/>
            <w:shd w:fill="FFF2CC"/>
            <w:tcBorders>
              <w:top w:sz="3" w:val="single" w:color="D9D4CE"/>
              <w:left w:sz="3" w:val="single" w:color="D9D4CE"/>
              <w:bottom w:sz="3" w:val="single" w:color="D9D4CE"/>
              <w:right w:sz="3" w:val="single" w:color="D9D4CE"/>
            </w:tcBorders>
            <w:vAlign w:val="center"/>
            <w:tcMar>
              <w:top w:w="70" w:type="dxa"/>
              <w:start w:w="90" w:type="dxa"/>
              <w:bottom w:w="70" w:type="dxa"/>
              <w:end w:w="90" w:type="dxa"/>
            </w:tcMar>
          </w:tcPr>
          <w:p>
            <w:pPr>
              <w:spacing w:after="36" w:line="245" w:lineRule="auto"/>
            </w:pPr>
            <w:r>
              <w:rPr>
                <w:rFonts w:ascii="Inter" w:hAnsi="Inter" w:eastAsia="Inter"/>
                <w:b/>
                <w:color w:val="222222"/>
                <w:sz w:val="16"/>
              </w:rPr>
              <w:t xml:space="preserve">FONTOS ELHATÁROLÁS: </w:t>
            </w:r>
            <w:r>
              <w:rPr>
                <w:rFonts w:ascii="Inter" w:hAnsi="Inter" w:eastAsia="Inter"/>
                <w:color w:val="222222"/>
                <w:sz w:val="16"/>
              </w:rPr>
              <w:t>A burkolat anyaghibája, a kivitelezési technológia hibája, a nem megfelelő aljzat, a későbbi épületnedvesség, más szakág károkozása és a nem megfelelő használat eltérő felelősségi kör lehet. A döntést helyszíni tények, gyártói előírások, mérések és dokumentáció alapján kell meghozni, nem pusztán fénykép alapján.</w:t>
            </w:r>
          </w:p>
        </w:tc>
      </w:tr>
    </w:tbl>
    <w:p>
      <w:pPr>
        <w:pStyle w:val="SFClause"/>
        <w:spacing w:after="0"/>
      </w:pPr>
    </w:p>
    <w:p>
      <w:pPr>
        <w:pStyle w:val="Heading1"/>
        <w:pBdr>
          <w:bottom w:val="single" w:sz="8" w:space="3" w:color="F29F05"/>
        </w:pBdr>
      </w:pPr>
      <w:r>
        <w:t>8. Hibajavítási és lezárási jegyzőkönyv</w:t>
      </w:r>
    </w:p>
    <w:tbl>
      <w:tblPr>
        <w:tblW w:type="auto" w:w="0"/>
        <w:jc w:val="center"/>
        <w:tblLayout w:type="autofit"/>
        <w:tblLook w:firstColumn="1" w:firstRow="1" w:lastColumn="0" w:lastRow="0" w:noHBand="0" w:noVBand="1" w:val="04A0"/>
      </w:tblPr>
      <w:tblGrid>
        <w:gridCol w:w="4876"/>
        <w:gridCol w:w="4876"/>
      </w:tblGrid>
      <w:tr>
        <w:trPr>
          <w:tblHeader w:val="true"/>
          <w:tblHeader w:val="true"/>
          <w:tblHeader w:val="true"/>
        </w:trPr>
        <w:tc>
          <w:tcPr>
            <w:tcW w:type="dxa" w:w="2948"/>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Adatmező</w:t>
            </w:r>
          </w:p>
        </w:tc>
        <w:tc>
          <w:tcPr>
            <w:tcW w:type="dxa" w:w="635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Kitöltendő adat</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Ügyszám/projekt</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Elfogadott javítási feladat</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Javítás tervezett és tényleges időpontja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Szükséges hozzáférés, kiürítés és klíma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Felhasznált anyagok és tételszámok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Javítás előtti/közbeni/utáni fotók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Mérési eredmények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Javítás eredménye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t>☐ megfelelő ☐ további intézkedés szükséges</w:t>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Fogyasztó észrevétele</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Fennmaradó határidő / feladat</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Lezárás dátuma</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2948"/>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shd w:fill="FAF8F5"/>
          </w:tcPr>
          <w:p>
            <w:pPr>
              <w:spacing w:after="36" w:line="245" w:lineRule="auto"/>
            </w:pPr>
            <w:r>
              <w:rPr>
                <w:rFonts w:ascii="Inter" w:hAnsi="Inter" w:eastAsia="Inter"/>
                <w:b/>
                <w:color w:val="222222"/>
                <w:sz w:val="16"/>
              </w:rPr>
              <w:t>Aláírások</w:t>
            </w:r>
          </w:p>
        </w:tc>
        <w:tc>
          <w:tcPr>
            <w:tcW w:type="dxa" w:w="635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bl>
    <w:p>
      <w:pPr>
        <w:pStyle w:val="SFClause"/>
        <w:spacing w:after="0"/>
      </w:pPr>
    </w:p>
    <w:p>
      <w:pPr>
        <w:pStyle w:val="Heading1"/>
        <w:pBdr>
          <w:bottom w:val="single" w:sz="8" w:space="3" w:color="F29F05"/>
        </w:pBdr>
      </w:pPr>
      <w:r>
        <w:t>9. Békéltető testületi és hatósági együttműködés belső rendje</w:t>
      </w:r>
    </w:p>
    <w:p>
      <w:pPr>
        <w:pStyle w:val="SFClause"/>
        <w:ind w:left="369" w:hanging="198"/>
      </w:pPr>
      <w:r>
        <w:rPr>
          <w:b/>
        </w:rPr>
        <w:t xml:space="preserve">1. </w:t>
      </w:r>
      <w:r>
        <w:t>A beérkező testületi vagy hatósági iratot még aznap továbbítani kell az ügyvezetőnek és a kijelölt jogi felelősnek.</w:t>
      </w:r>
    </w:p>
    <w:p>
      <w:pPr>
        <w:pStyle w:val="SFClause"/>
        <w:ind w:left="369" w:hanging="198"/>
      </w:pPr>
      <w:r>
        <w:rPr>
          <w:b/>
        </w:rPr>
        <w:t xml:space="preserve">2. </w:t>
      </w:r>
      <w:r>
        <w:t>A válaszhoz össze kell gyűjteni az elfogadott ÁSZF és szerződés verzióját, rendelési naplót, számlát, levelezést, fotókat, mérési iratokat, panaszt és korábbi választ.</w:t>
      </w:r>
    </w:p>
    <w:p>
      <w:pPr>
        <w:pStyle w:val="SFClause"/>
        <w:ind w:left="369" w:hanging="198"/>
      </w:pPr>
      <w:r>
        <w:rPr>
          <w:b/>
        </w:rPr>
        <w:t xml:space="preserve">3. </w:t>
      </w:r>
      <w:r>
        <w:t>A vállalkozás a békéltető testület eljárásában együttműködik, határidőben válasziratot küld és képviseletről gondoskodik.</w:t>
      </w:r>
    </w:p>
    <w:p>
      <w:pPr>
        <w:pStyle w:val="SFClause"/>
        <w:ind w:left="369" w:hanging="198"/>
      </w:pPr>
      <w:r>
        <w:rPr>
          <w:b/>
        </w:rPr>
        <w:t xml:space="preserve">4. </w:t>
      </w:r>
      <w:r>
        <w:t>Egyezségi ajánlat csak az ügyvezető vagy írásban felhatalmazott személy jóváhagyásával tehető.</w:t>
      </w:r>
    </w:p>
    <w:p>
      <w:pPr>
        <w:pStyle w:val="SFClause"/>
        <w:ind w:left="369" w:hanging="198"/>
      </w:pPr>
      <w:r>
        <w:rPr>
          <w:b/>
        </w:rPr>
        <w:t xml:space="preserve">5. </w:t>
      </w:r>
      <w:r>
        <w:t>Az ügy lezárása után gyökérok-elemzés készül, ha rendszerhiba, ismétlődő panasz vagy jogi szöveghiba merült fel.</w:t>
      </w:r>
    </w:p>
    <w:p>
      <w:pPr>
        <w:pStyle w:val="Heading1"/>
        <w:pBdr>
          <w:bottom w:val="single" w:sz="8" w:space="3" w:color="F29F05"/>
        </w:pBdr>
      </w:pPr>
      <w:r>
        <w:t>10. Panaszkezelési nyilvántartás</w:t>
      </w:r>
    </w:p>
    <w:tbl>
      <w:tblPr>
        <w:tblW w:type="auto" w:w="0"/>
        <w:jc w:val="center"/>
        <w:tblLayout w:type="autofit"/>
        <w:tblLook w:firstColumn="1" w:firstRow="1" w:lastColumn="0" w:lastRow="0" w:noHBand="0" w:noVBand="1" w:val="04A0"/>
      </w:tblPr>
      <w:tblGrid>
        <w:gridCol w:w="1219"/>
        <w:gridCol w:w="1219"/>
        <w:gridCol w:w="1219"/>
        <w:gridCol w:w="1219"/>
        <w:gridCol w:w="1219"/>
        <w:gridCol w:w="1219"/>
        <w:gridCol w:w="1219"/>
        <w:gridCol w:w="1219"/>
      </w:tblGrid>
      <w:tr>
        <w:trPr>
          <w:tblHeader w:val="true"/>
          <w:tblHeader w:val="true"/>
          <w:tblHeader w:val="true"/>
          <w:tblHeader w:val="true"/>
          <w:tblHeader w:val="true"/>
          <w:tblHeader w:val="true"/>
          <w:tblHeader w:val="true"/>
          <w:tblHeader w:val="true"/>
          <w:tblHeader w:val="true"/>
        </w:trPr>
        <w:tc>
          <w:tcPr>
            <w:tcW w:type="dxa" w:w="102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Ügyszám</w:t>
            </w:r>
          </w:p>
        </w:tc>
        <w:tc>
          <w:tcPr>
            <w:tcW w:type="dxa" w:w="102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Beérkezés</w:t>
            </w:r>
          </w:p>
        </w:tc>
        <w:tc>
          <w:tcPr>
            <w:tcW w:type="dxa" w:w="1474"/>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Ügyfél / projekt</w:t>
            </w:r>
          </w:p>
        </w:tc>
        <w:tc>
          <w:tcPr>
            <w:tcW w:type="dxa" w:w="1701"/>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Tárgy</w:t>
            </w:r>
          </w:p>
        </w:tc>
        <w:tc>
          <w:tcPr>
            <w:tcW w:type="dxa" w:w="1247"/>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r>
              <w:t>Általános panasz 30 nap / speciális igény saját határideje</w:t>
            </w:r>
          </w:p>
        </w:tc>
        <w:tc>
          <w:tcPr>
            <w:tcW w:type="dxa" w:w="102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Felelős</w:t>
            </w:r>
          </w:p>
        </w:tc>
        <w:tc>
          <w:tcPr>
            <w:tcW w:type="dxa" w:w="1020"/>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Döntés</w:t>
            </w:r>
          </w:p>
        </w:tc>
        <w:tc>
          <w:tcPr>
            <w:tcW w:type="dxa" w:w="793"/>
            <w:shd w:fill="2D2218"/>
            <w:vAlign w:val="center"/>
            <w:tcMar>
              <w:top w:w="70" w:type="dxa"/>
              <w:start w:w="90" w:type="dxa"/>
              <w:bottom w:w="70" w:type="dxa"/>
              <w:end w:w="90" w:type="dxa"/>
            </w:tcMar>
            <w:tcBorders>
              <w:top w:sz="3" w:val="single" w:color="D9D4CE"/>
              <w:left w:sz="3" w:val="single" w:color="D9D4CE"/>
              <w:bottom w:sz="3" w:val="single" w:color="D9D4CE"/>
              <w:right w:sz="3" w:val="single" w:color="D9D4CE"/>
            </w:tcBorders>
          </w:tcPr>
          <w:p>
            <w:pPr>
              <w:spacing w:after="36" w:line="245" w:lineRule="auto"/>
            </w:pPr>
            <w:r>
              <w:rPr>
                <w:rFonts w:ascii="Inter" w:hAnsi="Inter" w:eastAsia="Inter"/>
                <w:b/>
                <w:color w:val="FFFFFF"/>
                <w:sz w:val="16"/>
              </w:rPr>
              <w:t>Lezárás</w:t>
            </w:r>
          </w:p>
        </w:tc>
      </w:tr>
      <w:tr>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47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247"/>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793"/>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47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247"/>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793"/>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47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247"/>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793"/>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r>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474"/>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701"/>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247"/>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1020"/>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c>
          <w:tcPr>
            <w:tcW w:type="dxa" w:w="793"/>
            <w:tcMar>
              <w:top w:w="70" w:type="dxa"/>
              <w:start w:w="90" w:type="dxa"/>
              <w:bottom w:w="70" w:type="dxa"/>
              <w:end w:w="90" w:type="dxa"/>
            </w:tcMar>
            <w:tcBorders>
              <w:top w:sz="3" w:val="single" w:color="D9D4CE"/>
              <w:left w:sz="3" w:val="single" w:color="D9D4CE"/>
              <w:bottom w:sz="3" w:val="single" w:color="D9D4CE"/>
              <w:right w:sz="3" w:val="single" w:color="D9D4CE"/>
            </w:tcBorders>
            <w:vAlign w:val="center"/>
          </w:tcPr>
          <w:p>
            <w:pPr>
              <w:spacing w:after="36" w:line="245" w:lineRule="auto"/>
            </w:pPr>
            <w:r>
              <w:rPr>
                <w:rFonts w:ascii="Inter" w:hAnsi="Inter" w:eastAsia="Inter"/>
                <w:color w:val="222222"/>
                <w:sz w:val="16"/>
              </w:rPr>
            </w:r>
          </w:p>
        </w:tc>
      </w:tr>
    </w:tbl>
    <w:p>
      <w:pPr>
        <w:pStyle w:val="SFClause"/>
        <w:spacing w:after="0"/>
      </w:pPr>
    </w:p>
    <w:p>
      <w:pPr>
        <w:pStyle w:val="Heading1"/>
        <w:pBdr>
          <w:bottom w:val="single" w:sz="8" w:space="3" w:color="F29F05"/>
        </w:pBdr>
      </w:pPr>
      <w:r>
        <w:t>11. Források</w:t>
      </w:r>
    </w:p>
    <w:p>
      <w:pPr>
        <w:pStyle w:val="Heading1"/>
      </w:pPr>
      <w:r>
        <w:t>Eljárási alapelv: minden ügyben az ügy jogcíméhez tartozó speciális eljárási szabályt kell alkalmazni; a 19/2014. NGM rendelet nem általános kivitelezési reklamációs rendelet.</w:t>
      </w:r>
    </w:p>
    <w:p>
      <w:pPr>
        <w:pStyle w:val="SFSource"/>
      </w:pPr>
      <w:r>
        <w:rPr>
          <w:b/>
        </w:rPr>
        <w:t xml:space="preserve">Fogyasztóvédelmi törvény – 1997. évi CLV. törvény: </w:t>
      </w:r>
      <w:r>
        <w:t>https://njt.hu/jogszabaly/1997-155-00-00</w:t>
      </w:r>
    </w:p>
    <w:p>
      <w:pPr>
        <w:pStyle w:val="SFSource"/>
      </w:pPr>
      <w:r>
        <w:rPr>
          <w:b/>
        </w:rPr>
        <w:t xml:space="preserve">45/2014. (II. 26.) Korm. rendelet: </w:t>
      </w:r>
      <w:r>
        <w:t>https://njt.hu/jogszabaly/2014-45-20-22</w:t>
      </w:r>
    </w:p>
    <w:p>
      <w:pPr>
        <w:pStyle w:val="SFSource"/>
      </w:pPr>
      <w:r>
        <w:rPr>
          <w:b/>
        </w:rPr>
        <w:t xml:space="preserve">Ptk. – 2013. évi V. törvény: </w:t>
      </w:r>
      <w:r>
        <w:t>https://njt.hu/jogszabaly/2013-5-00-00</w:t>
      </w:r>
    </w:p>
    <w:p>
      <w:pPr>
        <w:pStyle w:val="SFSource"/>
      </w:pPr>
      <w:r>
        <w:t>373/2021. (VI. 30.) Korm. rendelet: https://njt.hu/jogszabaly/2021-373-20-22</w:t>
      </w:r>
    </w:p>
    <w:p>
      <w:pPr>
        <w:pStyle w:val="SFSource"/>
      </w:pPr>
      <w:r>
        <w:t>19/2014. (IV. 29.) NGM rendelet</w:t>
      </w:r>
    </w:p>
    <w:p>
      <w:pPr>
        <w:pStyle w:val="SFSource"/>
      </w:pPr>
      <w:r>
        <w:t>249/2004. (VIII. 27.) Korm. rendelet</w:t>
      </w:r>
    </w:p>
    <w:p>
      <w:pPr>
        <w:pStyle w:val="SFSource"/>
      </w:pPr>
      <w:r>
        <w:t>181/2003. (XI. 5.) Korm. rendelet</w:t>
      </w:r>
    </w:p>
    <w:p>
      <w:pPr>
        <w:pStyle w:val="SFSource"/>
      </w:pPr>
      <w:r>
        <w:t>151/2003. (IX. 22.) Korm. rendelet és 10/2024. (VI. 28.) IM rendelet – kizárólag a 10/2024. IM rendeletben felsorolt alkalmazandó termékkör, értékhatár és személyi hatály fennállása esetén. A 2026. szeptember 15-i terméklista alapján a szokásos padló- és falburkolatok, parketták, ragasztók és általános burkolási segédanyagok nem kezelendők automatikusan e kötelező jótállás alá tartozó termékként. Listás termék esetén 2026. március 1-jétől a személyi hatály vizsgálatakor a kiskereskedelmi vásárlást végző mikro-, kis- és középvállalkozásokat is ellenőrizni kell.</w:t>
      </w:r>
    </w:p>
    <w:p>
      <w:pPr>
        <w:pStyle w:val="SFSource"/>
      </w:pPr>
      <w:r>
        <w:t>114/2026. (VII. 23.) Korm. rendelet – a 2026. július 31. után kötött áru-adásvételi szerződések kijavítási szabályainak módosítása.</w:t>
      </w:r>
    </w:p>
    <w:p>
      <w:pPr>
        <w:pStyle w:val="SFSource"/>
      </w:pPr>
      <w:r>
        <w:rPr>
          <w:b/>
        </w:rPr>
        <w:t>Békéltető testületek aktuális elérhetőségei: a fogyasztó lakóhelye/tartózkodási helye alapján ellenőrizendők a szerződéskötés vagy válaszadás időpontjában; budapesti tájékoztató oldal: https://bekeltet.bkik.hu</w:t>
      </w:r>
      <w:r/>
    </w:p>
    <w:p>
      <w:pPr>
        <w:pStyle w:val="Heading1"/>
        <w:pBdr>
          <w:bottom w:val="single" w:sz="8" w:space="3" w:color="F29F05"/>
        </w:pBdr>
      </w:pPr>
      <w:r>
        <w:t>12. Spirit Floor belső panasz-SLA</w:t>
      </w:r>
    </w:p>
    <w:p>
      <w:pPr>
        <w:pStyle w:val="ListBullet"/>
      </w:pPr>
      <w:r>
        <w:t>Elektronikus panasz beérkezését a rendszer haladéktalanul visszaigazolja.</w:t>
      </w:r>
    </w:p>
    <w:p>
      <w:pPr>
        <w:pStyle w:val="ListBullet"/>
      </w:pPr>
      <w:r>
        <w:t>A panasz ügygazdáját célértékként 2 munkanapon belül kijelöljük.</w:t>
      </w:r>
    </w:p>
    <w:p>
      <w:pPr>
        <w:pStyle w:val="ListBullet"/>
      </w:pPr>
      <w:r>
        <w:t>Az írásbeli panaszra a fogyasztóvédelmi törvény szerinti határidőn belül, főszabály szerint 30 napon belül érdemi, indokolt választ adunk.</w:t>
      </w:r>
    </w:p>
    <w:p>
      <w:pPr>
        <w:pStyle w:val="ListBullet"/>
      </w:pPr>
      <w:r>
        <w:t>Műszaki hibánál lehetőség szerint helyszíni vizsgálat és gyökérok-elemzés készül; a fogyasztót nem küldjük indokolatlanul gyártó és kivitelező között.</w:t>
      </w:r>
    </w:p>
    <w:sectPr>
      <w:headerReference w:type="default" r:id="rId9"/>
      <w:footerReference w:type="default" r:id="rId10"/>
      <w:headerReference w:type="first" r:id="rId12"/>
      <w:headerReference w:type="even" r:id="rId13"/>
      <w:footerReference w:type="first" r:id="rId14"/>
      <w:footerReference w:type="even" r:id="rId15"/>
      <w:pgSz w:w="11909" w:h="16834"/>
      <w:pgMar w:top="1037" w:right="1066" w:bottom="979" w:left="1066"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860"/>
      <w:gridCol w:w="4860"/>
    </w:tblGrid>
    <w:tr>
      <w:tc>
        <w:tcPr>
          <w:tcW w:type="dxa" w:w="6912"/>
          <w:tcBorders>
            <w:top w:val="single" w:sz="4" w:color="D9D4CE" w:space="0"/>
          </w:tcBorders>
          <w:tcMar>
            <w:top w:w="30" w:type="dxa"/>
            <w:start w:w="20" w:type="dxa"/>
            <w:bottom w:w="10" w:type="dxa"/>
            <w:end w:w="20" w:type="dxa"/>
          </w:tcMar>
        </w:tcPr>
        <w:p>
          <w:pPr>
            <w:jc w:val="left"/>
          </w:pPr>
          <w:r>
            <w:rPr>
              <w:rFonts w:ascii="Inter" w:hAnsi="Inter"/>
              <w:color w:val="676767"/>
              <w:sz w:val="14"/>
            </w:rPr>
            <w:t>SF-JOG-09  •  v3.0  •  Spirit Floor Kft.</w:t>
          </w:r>
        </w:p>
      </w:tc>
      <w:tc>
        <w:tcPr>
          <w:tcW w:type="dxa" w:w="2808"/>
          <w:tcBorders>
            <w:top w:val="single" w:sz="4" w:color="D9D4CE" w:space="0"/>
          </w:tcBorders>
          <w:tcMar>
            <w:top w:w="30" w:type="dxa"/>
            <w:start w:w="20" w:type="dxa"/>
            <w:bottom w:w="10" w:type="dxa"/>
            <w:end w:w="20" w:type="dxa"/>
          </w:tcMar>
        </w:tcPr>
        <w:p>
          <w:pPr>
            <w:jc w:val="right"/>
          </w:pPr>
          <w:r>
            <w:rPr>
              <w:rFonts w:ascii="Inter" w:hAnsi="Inter"/>
              <w:color w:val="676767"/>
              <w:sz w:val="14"/>
            </w:rPr>
            <w:t xml:space="preserve">Oldal </w:t>
            <w:fldChar w:fldCharType="begin"/>
            <w:instrText xml:space="preserve">PAGE</w:instrText>
            <w:fldChar w:fldCharType="end"/>
          </w:r>
          <w:r>
            <w:rPr>
              <w:color w:val="676767"/>
              <w:sz w:val="14"/>
            </w:rPr>
            <w:t xml:space="preserve"> / </w:t>
            <w:fldChar w:fldCharType="begin"/>
            <w:instrText xml:space="preserve">NUMPAGES</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1008"/>
      <w:gridCol w:w="8640"/>
    </w:tblGrid>
    <w:tr>
      <w:tc>
        <w:tcPr>
          <w:tcW w:type="dxa" w:w="1008"/>
          <w:tcBorders>
            <w:bottom w:val="single" w:sz="10" w:color="F29F05" w:space="0"/>
          </w:tcBorders>
          <w:tcMar>
            <w:top w:w="20" w:type="dxa"/>
            <w:start w:w="20" w:type="dxa"/>
            <w:bottom w:w="30" w:type="dxa"/>
            <w:end w:w="20" w:type="dxa"/>
          </w:tcMar>
        </w:tcPr>
        <w:p>
          <w:pPr>
            <w:jc w:val="left"/>
          </w:pPr>
          <w:r>
            <w:drawing>
              <wp:inline xmlns:a="http://schemas.openxmlformats.org/drawingml/2006/main" xmlns:pic="http://schemas.openxmlformats.org/drawingml/2006/picture">
                <wp:extent cx="292608" cy="306905"/>
                <wp:docPr id="1" name="Picture 1" descr="Spirit Floor logó"/>
                <wp:cNvGraphicFramePr>
                  <a:graphicFrameLocks noChangeAspect="1"/>
                </wp:cNvGraphicFramePr>
                <a:graphic>
                  <a:graphicData uri="http://schemas.openxmlformats.org/drawingml/2006/picture">
                    <pic:pic>
                      <pic:nvPicPr>
                        <pic:cNvPr id="0" name="spirit_logo.png"/>
                        <pic:cNvPicPr/>
                      </pic:nvPicPr>
                      <pic:blipFill>
                        <a:blip r:embed="rId1"/>
                        <a:stretch>
                          <a:fillRect/>
                        </a:stretch>
                      </pic:blipFill>
                      <pic:spPr>
                        <a:xfrm>
                          <a:off x="0" y="0"/>
                          <a:ext cx="292608" cy="306905"/>
                        </a:xfrm>
                        <a:prstGeom prst="rect"/>
                      </pic:spPr>
                    </pic:pic>
                  </a:graphicData>
                </a:graphic>
              </wp:inline>
            </w:drawing>
          </w:r>
        </w:p>
      </w:tc>
      <w:tc>
        <w:tcPr>
          <w:tcW w:type="dxa" w:w="8640"/>
          <w:tcBorders>
            <w:bottom w:val="single" w:sz="10" w:color="F29F05" w:space="0"/>
          </w:tcBorders>
          <w:tcMar>
            <w:top w:w="20" w:type="dxa"/>
            <w:start w:w="20" w:type="dxa"/>
            <w:bottom w:w="30" w:type="dxa"/>
            <w:end w:w="20" w:type="dxa"/>
          </w:tcMar>
        </w:tcPr>
        <w:p>
          <w:pPr>
            <w:jc w:val="right"/>
          </w:pPr>
          <w:r>
            <w:rPr>
              <w:rFonts w:ascii="Inter" w:hAnsi="Inter"/>
              <w:b/>
              <w:color w:val="2D2218"/>
              <w:sz w:val="14"/>
            </w:rPr>
            <w:t>SPIRIT FLOOR  •  PANASZKEZELÉS</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71" w:lineRule="auto"/>
    </w:pPr>
    <w:rPr>
      <w:rFonts w:ascii="Inter" w:hAnsi="Inter" w:eastAsia="Inter"/>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Noto Serif Display" w:hAnsi="Noto Serif Display" w:eastAsia="Noto Serif Display"/>
      <w:b w:val="0"/>
      <w:bCs/>
      <w:color w:val="2D2218"/>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Inter" w:hAnsi="Inter" w:eastAsia="Inter"/>
      <w:b/>
      <w:bCs/>
      <w:color w:val="2D2218"/>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Inter" w:hAnsi="Inter" w:eastAsia="Inter"/>
      <w:b/>
      <w:bCs/>
      <w:color w:val="D989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sz w:val="18"/>
    </w:rPr>
  </w:style>
  <w:style w:type="paragraph" w:styleId="ListBullet2">
    <w:name w:val="List Bullet 2"/>
    <w:basedOn w:val="Normal"/>
    <w:uiPriority w:val="99"/>
    <w:unhideWhenUsed/>
    <w:rsid w:val="00326F90"/>
    <w:pPr>
      <w:numPr>
        <w:numId w:val="2"/>
      </w:numPr>
      <w:contextualSpacing/>
    </w:pPr>
    <w:rPr>
      <w:rFonts w:ascii="Inter" w:hAnsi="Inter" w:eastAsia="Inte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sz w:val="18"/>
    </w:rPr>
  </w:style>
  <w:style w:type="paragraph" w:styleId="ListNumber2">
    <w:name w:val="List Number 2"/>
    <w:basedOn w:val="Normal"/>
    <w:uiPriority w:val="99"/>
    <w:unhideWhenUsed/>
    <w:rsid w:val="0029639D"/>
    <w:pPr>
      <w:numPr>
        <w:numId w:val="6"/>
      </w:numPr>
      <w:contextualSpacing/>
    </w:pPr>
    <w:rPr>
      <w:rFonts w:ascii="Inter" w:hAnsi="Inter" w:eastAsia="Inter"/>
      <w:sz w:val="18"/>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FEyebrow">
    <w:name w:val="SF Eyebrow"/>
    <w:pPr>
      <w:keepNext/>
      <w:spacing w:after="80"/>
    </w:pPr>
    <w:rPr>
      <w:rFonts w:ascii="Inter" w:hAnsi="Inter"/>
      <w:b/>
      <w:caps/>
      <w:color w:val="D98900"/>
      <w:sz w:val="16"/>
    </w:rPr>
  </w:style>
  <w:style w:type="paragraph" w:customStyle="1" w:styleId="SFLead">
    <w:name w:val="SF Lead"/>
    <w:pPr>
      <w:spacing w:after="160" w:line="288" w:lineRule="auto"/>
    </w:pPr>
    <w:rPr>
      <w:rFonts w:ascii="Inter" w:hAnsi="Inter"/>
      <w:color w:val="676767"/>
      <w:sz w:val="21"/>
    </w:rPr>
  </w:style>
  <w:style w:type="paragraph" w:customStyle="1" w:styleId="SFNote">
    <w:name w:val="SF Note"/>
    <w:pPr>
      <w:spacing w:before="100" w:after="120"/>
      <w:ind w:left="173" w:right="115"/>
    </w:pPr>
    <w:rPr>
      <w:rFonts w:ascii="Inter" w:hAnsi="Inter"/>
      <w:color w:val="222222"/>
      <w:sz w:val="17"/>
    </w:rPr>
  </w:style>
  <w:style w:type="paragraph" w:customStyle="1" w:styleId="SFSource">
    <w:name w:val="SF Source"/>
    <w:pPr>
      <w:spacing w:after="40"/>
    </w:pPr>
    <w:rPr>
      <w:rFonts w:ascii="Inter" w:hAnsi="Inter"/>
      <w:color w:val="676767"/>
      <w:sz w:val="15"/>
    </w:rPr>
  </w:style>
  <w:style w:type="paragraph" w:customStyle="1" w:styleId="SFSmall">
    <w:name w:val="SF Small"/>
    <w:pPr>
      <w:spacing w:after="40"/>
    </w:pPr>
    <w:rPr>
      <w:rFonts w:ascii="Inter" w:hAnsi="Inter"/>
      <w:color w:val="676767"/>
      <w:sz w:val="16"/>
    </w:rPr>
  </w:style>
  <w:style w:type="paragraph" w:customStyle="1" w:styleId="SFClause">
    <w:name w:val="SF Clause"/>
    <w:pPr>
      <w:spacing w:after="100" w:line="274" w:lineRule="auto"/>
    </w:pPr>
    <w:rPr>
      <w:rFonts w:ascii="Inter" w:hAnsi="Inter"/>
      <w:color w:val="222222"/>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