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FClause"/>
        <w:jc w:val="center"/>
      </w:pPr>
      <w:r>
        <w:drawing>
          <wp:inline xmlns:a="http://schemas.openxmlformats.org/drawingml/2006/main" xmlns:pic="http://schemas.openxmlformats.org/drawingml/2006/picture">
            <wp:extent cx="987552" cy="1035804"/>
            <wp:docPr id="1" name="Picture 1" descr="Spirit Floor logó"/>
            <wp:cNvGraphicFramePr>
              <a:graphicFrameLocks noChangeAspect="1"/>
            </wp:cNvGraphicFramePr>
            <a:graphic>
              <a:graphicData uri="http://schemas.openxmlformats.org/drawingml/2006/picture">
                <pic:pic>
                  <pic:nvPicPr>
                    <pic:cNvPr id="0" name="spirit_logo.png"/>
                    <pic:cNvPicPr/>
                  </pic:nvPicPr>
                  <pic:blipFill>
                    <a:blip r:embed="rId11"/>
                    <a:stretch>
                      <a:fillRect/>
                    </a:stretch>
                  </pic:blipFill>
                  <pic:spPr>
                    <a:xfrm>
                      <a:off x="0" y="0"/>
                      <a:ext cx="987552" cy="1035804"/>
                    </a:xfrm>
                    <a:prstGeom prst="rect"/>
                  </pic:spPr>
                </pic:pic>
              </a:graphicData>
            </a:graphic>
          </wp:inline>
        </w:drawing>
      </w:r>
    </w:p>
    <w:p>
      <w:pPr>
        <w:pStyle w:val="SFEyebrow"/>
        <w:jc w:val="center"/>
      </w:pPr>
      <w:r>
        <w:t>SZERZŐDÉSES DOKUMENTÁCIÓ</w:t>
      </w:r>
    </w:p>
    <w:p>
      <w:pPr>
        <w:pStyle w:val="SFClause"/>
        <w:jc w:val="center"/>
      </w:pPr>
      <w:r>
        <w:rPr>
          <w:rFonts w:ascii="Noto Serif Display" w:hAnsi="Noto Serif Display" w:eastAsia="Noto Serif Display"/>
          <w:color w:val="2D2218"/>
          <w:sz w:val="50"/>
        </w:rPr>
        <w:t>Garanciális és szavatossági feltételek</w:t>
      </w:r>
    </w:p>
    <w:p>
      <w:pPr>
        <w:pStyle w:val="SFLead"/>
        <w:jc w:val="center"/>
      </w:pPr>
      <w:r>
        <w:t>Spirit Floor Kivitelezési Garancia, teljes rendszergarancia, termékhiba-kezelés és jogszabályi jótállás</w:t>
      </w:r>
    </w:p>
    <w:p>
      <w:pPr>
        <w:pStyle w:val="SFClause"/>
        <w:jc w:val="center"/>
      </w:pPr>
      <w:r>
        <w:rPr>
          <w:color w:val="F29F05"/>
          <w:sz w:val="16"/>
        </w:rPr>
        <w:t>━━━━━━━━━━━━━━━━━━</w:t>
      </w:r>
    </w:p>
    <w:tbl>
      <w:tblPr>
        <w:tblW w:type="auto" w:w="0"/>
        <w:jc w:val="center"/>
        <w:tblLayout w:type="autofit"/>
        <w:tblLook w:firstColumn="1" w:firstRow="1" w:lastColumn="0" w:lastRow="0" w:noHBand="0" w:noVBand="1" w:val="04A0"/>
      </w:tblPr>
      <w:tblGrid>
        <w:gridCol w:w="4888"/>
        <w:gridCol w:w="4888"/>
      </w:tblGrid>
      <w:tr>
        <w:trPr>
          <w:tblHeader w:val="true"/>
          <w:tblHeader w:val="true"/>
        </w:trPr>
        <w:tc>
          <w:tcPr>
            <w:tcW w:type="dxa" w:w="2520"/>
            <w:shd w:fill="2D221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FFFFFF"/>
                <w:sz w:val="16"/>
              </w:rPr>
              <w:t>Dokumentumazonosító</w:t>
            </w:r>
          </w:p>
        </w:tc>
        <w:tc>
          <w:tcPr>
            <w:tcW w:type="dxa" w:w="6696"/>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2D2218"/>
          </w:tcPr>
          <w:p>
            <w:pPr>
              <w:spacing w:after="36" w:line="245" w:lineRule="auto"/>
            </w:pPr>
            <w:r>
              <w:rPr>
                <w:rFonts w:ascii="Inter" w:hAnsi="Inter" w:eastAsia="Inter"/>
                <w:b/>
                <w:color w:val="FFFFFF"/>
                <w:sz w:val="16"/>
              </w:rPr>
              <w:t>SF-JOG-07</w:t>
            </w:r>
          </w:p>
        </w:tc>
      </w:tr>
      <w:tr>
        <w:tc>
          <w:tcPr>
            <w:tcW w:type="dxa" w:w="2520"/>
            <w:shd w:fill="FAF8F5"/>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222222"/>
                <w:sz w:val="16"/>
              </w:rPr>
              <w:t>Verzió</w:t>
            </w:r>
          </w:p>
        </w:tc>
        <w:tc>
          <w:tcPr>
            <w:tcW w:type="dxa" w:w="6696"/>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r>
              <w:t>3.0</w:t>
            </w:r>
          </w:p>
        </w:tc>
      </w:tr>
      <w:tr>
        <w:tc>
          <w:tcPr>
            <w:tcW w:type="dxa" w:w="2520"/>
            <w:shd w:fill="FAF8F5"/>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222222"/>
                <w:sz w:val="16"/>
              </w:rPr>
              <w:t>Keltezés</w:t>
            </w:r>
          </w:p>
        </w:tc>
        <w:tc>
          <w:tcPr>
            <w:tcW w:type="dxa" w:w="6696"/>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r>
              <w:t>2026. 09. 15.</w:t>
            </w:r>
          </w:p>
        </w:tc>
      </w:tr>
      <w:tr>
        <w:tc>
          <w:tcPr>
            <w:tcW w:type="dxa" w:w="2520"/>
            <w:shd w:fill="FAF8F5"/>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222222"/>
                <w:sz w:val="16"/>
              </w:rPr>
              <w:t>Kibocsátó</w:t>
            </w:r>
          </w:p>
        </w:tc>
        <w:tc>
          <w:tcPr>
            <w:tcW w:type="dxa" w:w="6696"/>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b/>
                <w:color w:val="222222"/>
                <w:sz w:val="16"/>
              </w:rPr>
              <w:t>Spirit Floor Kft.</w:t>
            </w:r>
          </w:p>
        </w:tc>
      </w:tr>
      <w:tr>
        <w:tc>
          <w:tcPr>
            <w:tcW w:type="dxa" w:w="2520"/>
            <w:shd w:fill="FAF8F5"/>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222222"/>
                <w:sz w:val="16"/>
              </w:rPr>
              <w:t>Weboldal</w:t>
            </w:r>
          </w:p>
        </w:tc>
        <w:tc>
          <w:tcPr>
            <w:tcW w:type="dxa" w:w="6696"/>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b/>
                <w:color w:val="222222"/>
                <w:sz w:val="16"/>
              </w:rPr>
              <w:t>https://spiritfloor.com</w:t>
            </w:r>
          </w:p>
        </w:tc>
      </w:tr>
      <w:tr>
        <w:tc>
          <w:tcPr>
            <w:tcW w:type="dxa" w:w="2520"/>
            <w:shd w:fill="FAF8F5"/>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222222"/>
                <w:sz w:val="16"/>
              </w:rPr>
              <w:t>Állapot</w:t>
            </w:r>
          </w:p>
        </w:tc>
        <w:tc>
          <w:tcPr>
            <w:tcW w:type="dxa" w:w="6696"/>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r>
              <w:t>MASTER v3.0 garanciális és szavatossági feltételrendszer</w:t>
            </w:r>
          </w:p>
        </w:tc>
      </w:tr>
    </w:tbl>
    <w:p>
      <w:pPr>
        <w:pStyle w:val="SFNote"/>
        <w:shd w:fill="FAF8F5"/>
        <w:pBdr>
          <w:left w:val="single" w:sz="14" w:space="6" w:color="F29F05"/>
        </w:pBdr>
      </w:pPr>
      <w:r>
        <w:rPr>
          <w:b/>
        </w:rPr>
        <w:t xml:space="preserve">Alapelv: </w:t>
      </w:r>
      <w:r>
        <w:t>átlátható feltételek, dokumentált műszaki döntések és egyértelmű felelősségi határok. A fogyasztót megillető kötelező jogokat a dokumentum nem korlátozza.</w:t>
      </w:r>
    </w:p>
    <w:p>
      <w:pPr>
        <w:pStyle w:val="SFClause"/>
        <w:jc w:val="center"/>
      </w:pPr>
      <w:r>
        <w:rPr>
          <w:rFonts w:ascii="Inter" w:hAnsi="Inter"/>
          <w:color w:val="676767"/>
          <w:sz w:val="15"/>
        </w:rPr>
        <w:t>Spirit Floor Kereskedelmi és Szolgáltató Korlátolt Felelősségű Társaság</w:t>
        <w:br/>
        <w:t>2141 Csömör, Boglárka utca 19.  •  kapcsolat@spiritfloor.hu  •  +36 30 931 0990</w:t>
      </w:r>
    </w:p>
    <w:p>
      <w:pPr>
        <w:pStyle w:val="SFClause"/>
      </w:pPr>
      <w:r>
        <w:br w:type="page"/>
      </w:r>
    </w:p>
    <w:p>
      <w:pPr>
        <w:pStyle w:val="Heading1"/>
        <w:pBdr>
          <w:bottom w:val="single" w:sz="8" w:space="3" w:color="F29F05"/>
        </w:pBdr>
      </w:pPr>
      <w:r>
        <w:t>1. A rendszer célja</w:t>
      </w:r>
    </w:p>
    <w:p>
      <w:pPr>
        <w:pStyle w:val="SFClause"/>
      </w:pPr>
      <w:r>
        <w:t>1.1. A Spirit Floor célja, hogy a Megrendelőnek ne kelljen eldöntenie, hogy egy hiba a burkolóanyagból, segédanyagból, aljzat-előkészítésből vagy kivitelezésből ered-e. Ha a teljes rendszert a Spirit Floor biztosította, a hibabejelentést a Spirit Floor fogadja, kivizsgálja és a háttérben szükség szerint bevonja a gyártót, beszállítót vagy alvállalkozót.</w:t>
      </w:r>
    </w:p>
    <w:p>
      <w:pPr>
        <w:pStyle w:val="SFClause"/>
      </w:pPr>
      <w:r>
        <w:t>1.2. Jelen dokumentum az önkéntes szerződéses jótállást és az ügyintézési vállalásokat szabályozza. Nem csökkenti a fogyasztót megillető kellékszavatossági, termékszavatossági, kötelező jótállási, kártérítési vagy más törvényes jogokat.</w:t>
      </w:r>
    </w:p>
    <w:p>
      <w:pPr>
        <w:pStyle w:val="Heading1"/>
        <w:pBdr>
          <w:bottom w:val="single" w:sz="8" w:space="3" w:color="F29F05"/>
        </w:pBdr>
      </w:pPr>
      <w:r>
        <w:t>2. Garanciaszintek</w:t>
      </w:r>
    </w:p>
    <w:tbl>
      <w:tblPr>
        <w:tblW w:type="auto" w:w="0"/>
        <w:jc w:val="center"/>
        <w:tblLayout w:type="autofit"/>
        <w:tblLook w:firstColumn="1" w:firstRow="1" w:lastColumn="0" w:lastRow="0" w:noHBand="0" w:noVBand="1" w:val="04A0"/>
      </w:tblPr>
      <w:tblGrid>
        <w:gridCol w:w="2444"/>
        <w:gridCol w:w="2444"/>
        <w:gridCol w:w="2444"/>
        <w:gridCol w:w="2444"/>
      </w:tblGrid>
      <w:tr>
        <w:trPr>
          <w:tblHeader w:val="true"/>
          <w:tblHeader w:val="true"/>
          <w:tblHeader w:val="true"/>
          <w:tblHeader w:val="true"/>
          <w:tblHeader w:val="true"/>
          <w:tblHeader w:val="true"/>
          <w:tblHeader w:val="true"/>
          <w:tblHeader w:val="true"/>
        </w:trPr>
        <w:tc>
          <w:tcPr>
            <w:tcW w:type="dxa" w:w="2444"/>
            <w:shd w:fill="2D221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FFFFFF"/>
                <w:sz w:val="16"/>
              </w:rPr>
              <w:t>Megrendelés típusa</w:t>
            </w:r>
          </w:p>
        </w:tc>
        <w:tc>
          <w:tcPr>
            <w:tcW w:type="dxa" w:w="2444"/>
            <w:shd w:fill="2D221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FFFFFF"/>
                <w:sz w:val="16"/>
              </w:rPr>
              <w:t>Spirit Floor felelősségi kör</w:t>
            </w:r>
          </w:p>
        </w:tc>
        <w:tc>
          <w:tcPr>
            <w:tcW w:type="dxa" w:w="2444"/>
            <w:shd w:fill="2D221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FFFFFF"/>
                <w:sz w:val="16"/>
              </w:rPr>
              <w:t>Ügyfélkapcsolat</w:t>
            </w:r>
          </w:p>
        </w:tc>
        <w:tc>
          <w:tcPr>
            <w:tcW w:type="dxa" w:w="2444"/>
            <w:shd w:fill="2D221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FFFFFF"/>
                <w:sz w:val="16"/>
              </w:rPr>
              <w:t>Önkéntes vállalás</w:t>
            </w:r>
          </w:p>
        </w:tc>
      </w:tr>
      <w:tr>
        <w:tc>
          <w:tcPr>
            <w:tcW w:type="dxa" w:w="2444"/>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t>Csak termék</w:t>
            </w:r>
          </w:p>
        </w:tc>
        <w:tc>
          <w:tcPr>
            <w:tcW w:type="dxa" w:w="2444"/>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t>A Spirit Floor mint eladó a termék szerződésszerűségéért a jogszabály szerint felel. A beépítésért nem, ha azt nem a Spirit Floor vagy felelőssége alatt álló közreműködő végezte.</w:t>
            </w:r>
          </w:p>
        </w:tc>
        <w:tc>
          <w:tcPr>
            <w:tcW w:type="dxa" w:w="2444"/>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t>Hibabejelentés a Spirit Floornál; gyártói vizsgálat koordinálható.</w:t>
            </w:r>
          </w:p>
        </w:tc>
        <w:tc>
          <w:tcPr>
            <w:tcW w:type="dxa" w:w="2444"/>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t>Nincs automatikus kivitelezési garancia; gyártói és törvényes jogok érvényesek.</w:t>
            </w:r>
          </w:p>
        </w:tc>
      </w:tr>
      <w:tr>
        <w:tc>
          <w:tcPr>
            <w:tcW w:type="dxa" w:w="2444"/>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t>Csak kivitelezés</w:t>
            </w:r>
          </w:p>
        </w:tc>
        <w:tc>
          <w:tcPr>
            <w:tcW w:type="dxa" w:w="2444"/>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t>A Spirit Floor a saját munkájáért felel. Megrendelő által biztosított anyag rejtett gyártási hibájáért nem, de felismerhető alkalmatlanság esetén figyelmeztetési kötelezettsége fennáll.</w:t>
            </w:r>
          </w:p>
        </w:tc>
        <w:tc>
          <w:tcPr>
            <w:tcW w:type="dxa" w:w="2444"/>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t>Egyablakos kivitelezési hibakezelés.</w:t>
            </w:r>
          </w:p>
        </w:tc>
        <w:tc>
          <w:tcPr>
            <w:tcW w:type="dxa" w:w="2444"/>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t>24 hónap Spirit Floor Kivitelezési Garancia.</w:t>
            </w:r>
          </w:p>
        </w:tc>
      </w:tr>
      <w:tr>
        <w:tc>
          <w:tcPr>
            <w:tcW w:type="dxa" w:w="2444"/>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t>Teljes burkolatrendszer</w:t>
            </w:r>
          </w:p>
        </w:tc>
        <w:tc>
          <w:tcPr>
            <w:tcW w:type="dxa" w:w="2444"/>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t>Felmérés + Spirit Floor által meghatározott rétegrend + rendszeranyagok + kivitelezés.</w:t>
            </w:r>
          </w:p>
        </w:tc>
        <w:tc>
          <w:tcPr>
            <w:tcW w:type="dxa" w:w="2444"/>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t>A Megrendelő egy kapcsolattartón keresztül intézi a teljes hibát.</w:t>
            </w:r>
          </w:p>
        </w:tc>
        <w:tc>
          <w:tcPr>
            <w:tcW w:type="dxa" w:w="2444"/>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t>24 hónap Spirit Floor Rendszergarancia a saját rendszertervezés és kivitelezés körére.</w:t>
            </w:r>
          </w:p>
        </w:tc>
      </w:tr>
    </w:tbl>
    <w:p>
      <w:pPr>
        <w:pStyle w:val="Heading1"/>
        <w:pBdr>
          <w:bottom w:val="single" w:sz="8" w:space="3" w:color="F29F05"/>
        </w:pBdr>
      </w:pPr>
      <w:r>
        <w:t>3. Spirit Floor Kivitelezési Garancia – 24 hónap</w:t>
      </w:r>
    </w:p>
    <w:p>
      <w:pPr>
        <w:pStyle w:val="SFClause"/>
      </w:pPr>
      <w:r>
        <w:t>3.1. A Spirit Floor a szerződésszerűen teljesített saját kivitelezési munkára 24 hónap önkéntes szerződéses jótállást vállal. A garancia kezdőnapja főszabály szerint az átadás-átvétel lezárásának napja. Ha a Megrendelő az átadás-átvételi eljárást a szabályszerű felhívás ellenére nem folytatja le, de a művet ténylegesen birtokba veszi, a garancia kezdőnapja a Ptk. 6:247. § (4) bekezdése szerinti teljesítési joghatások beállásának napja. Jogszabály vagy az egyedi szerződés hosszabb vagy kedvezőbb kötelező feltétele elsőbbséget élvez.</w:t>
      </w:r>
    </w:p>
    <w:p>
      <w:pPr>
        <w:pStyle w:val="SFClause"/>
      </w:pPr>
      <w:r>
        <w:t>3.2. A jótállás kiterjed a Spirit Floor vagy az általa igénybe vett közreműködő teljesítési körében keletkezett kivitelezési hibára, így különösen a szerződéses rétegrendtől vagy gyártói technológiától való eltérésre, hibás ragasztásra, hibás illesztésre, a Spirit Floor által kialakított aljzat-előkészítési réteg hibájára, illetve a vállalt részletképzés hibájára. A jótállási felelősség alóli mentesülést nem a fogyasztónak kell általánosan bizonyítania; a konkrét igényt az alkalmazandó jogszabály, a jelen önkéntes vállalás és a dokumentált tények szerint kell elbírálni.</w:t>
      </w:r>
    </w:p>
    <w:p>
      <w:pPr>
        <w:pStyle w:val="SFClause"/>
      </w:pPr>
      <w:r>
        <w:t>3.3. Teljes rendszergarancia esetén a Spirit Floor felelőssége kiterjed arra is, hogy az általa kiválasztott és együtt alkalmazott rendszeranyagok a dokumentált helyszíni feltételek mellett egymással műszakilag összeegyeztethetők legyenek.</w:t>
      </w:r>
    </w:p>
    <w:p>
      <w:pPr>
        <w:pStyle w:val="Heading1"/>
        <w:pBdr>
          <w:bottom w:val="single" w:sz="8" w:space="3" w:color="F29F05"/>
        </w:pBdr>
      </w:pPr>
      <w:r>
        <w:t>4. Jogszabály alapján fennálló kötelező jótállás</w:t>
      </w:r>
    </w:p>
    <w:p>
      <w:pPr>
        <w:pStyle w:val="SFClause"/>
      </w:pPr>
      <w:r>
        <w:t>4.1. A 181/2003. (XI. 5.) Korm. rendelet szerinti kötelező jótállás kizárólag akkor alkalmazandó, ha annak személyi és tárgyi hatálya fennáll. A rendelet az újonnan épített lakásokhoz és lakóépületekhez tartozó, 1–2. melléklet szerinti épületszerkezetekre, berendezésekre, helyiségekre és részekre 3 éves jótállást ír elő; az 1. melléklet a lakások burkolatait is nevesíti. A 3. és 4. mellékletben meghatározott épületszerkezetekre, illetve azok létrehozásánál felhasznált egyes termékekre és anyagokra a jótállás az újonnan épített lakásokra, lakóépületekre és közhasználatú építményekre is kiterjed; a 3. melléklet szerinti körre 5 év, a 4. melléklet szerinti körre 10 év vonatkozik. A 3. melléklet több melegburkolási terméket is felsorol, így műanyag padló- és falburkoló lemezeket és szegélyprofilokat, gumi padlóburkoló lemezeket és szegélyprofilokat, fa és faalapanyagú burkolóelemeket (parkettákat), lakások padlószőnyegeit, továbbá ragasztókat és aljzatképző anyagokat. A rendeletből ugyanakkor nem következik, hogy egy meglévő épület szokásos burkolatcseréje vagy felújítása automatikusan e kötelező építési jótállás alá tartozik; a projekt új építési jellegét és az érintett mellékletet külön kell vizsgálni.</w:t>
      </w:r>
    </w:p>
    <w:p>
      <w:pPr>
        <w:pStyle w:val="SFClause"/>
      </w:pPr>
      <w:r>
        <w:t>4.2. A 249/2004. (VIII. 27.) Korm. rendelet szerinti, a mellékletben felsorolt javító-karbantartó szolgáltatásnál, fogyasztói szerződésben, ha az áfát és anyagköltséget is tartalmazó szolgáltatási díj a 20 000 Ft-ot meghaladja, a jogszabály szerinti 6 hónapos kötelező jótállást biztosítani kell. Az önkéntes Spirit Floor garancia ezt nem helyettesíti, hanem – ahol kedvezőbb – kiegészíti.</w:t>
      </w:r>
    </w:p>
    <w:p>
      <w:pPr>
        <w:pStyle w:val="SFClause"/>
      </w:pPr>
      <w:r>
        <w:t>4.3. A 151/2003. (IX. 22.) Korm. rendelet szerinti kötelező jótállást csak akkor kell alkalmazni, ha a Spirit Floor a 10/2024. (VI. 28.) IM rendeletben felsorolt új tartós fogyasztási cikket értékesít, az eladási ár eléri a 10 000 Ft-ot, és a jogszabály személyi hatálya is fennáll. A 2026. szeptember 15-i termékjegyzékben a szokásos padló- és falburkolatok, parketták, ragasztók és általános burkolási segédanyagok nem szerepelnek önálló kötelező-jótállási termékcsoportként; ezért a 151/2003. rendeletet ezekre nem szabad pusztán tartósságuk vagy magas értékük miatt alkalmazandónak tekinteni. Ha a Spirit Floor később a 10/2024. IM rendeletben felsorolt terméket is értékesít, a termékkört minden esetben külön ellenőrizni kell. Ilyen alkalmazandó terméknél 2026. március 1-jétől fogyasztónak minősül a Ptk. szerinti fogyasztó mellett az a mikro-, kis- vagy középvállalkozás is, amely a fogyasztási cikket kiskereskedelmi tevékenység keretében vásárolja meg. A kötelező jótállás időtartama 10 000–250 000 Ft eladási ár között két év, 250 000 Ft felett három év. Legfeljebb 100 000 Ft eladási árnál külön jótállási jegy kiállítása nem kötelező, de a rendelet szerinti tájékoztatást tartósan olvasható formában biztosítani kell; 100 000 Ft felett a jogszabály szerinti jótállási jegyet át kell adni.</w:t>
      </w:r>
    </w:p>
    <w:p>
      <w:pPr>
        <w:pStyle w:val="SFClause"/>
      </w:pPr>
      <w:r>
        <w:t>4.4. Ha a 151/2003. (IX. 22.) Korm. rendelet alkalmazandó, annak speciális kijavítási, kicserélési és vételár-visszatérítési szabályait is alkalmazni kell. Ide tartozhat különösen a rendeltetésszerű használatot akadályozó, három munkanapon belül érvényesített csereigény, a nem javítható termék, a három kijavítást követően ismét meghibásodó termék, valamint a jogszabályban meghatározott javítási határidő túllépése esetén fennálló csere- vagy visszatérítési kötelezettség. Az ügyintézési ellenőrző kapukat az SF-JOG-09 tartalmazza.</w:t>
      </w:r>
    </w:p>
    <w:p>
      <w:pPr>
        <w:pStyle w:val="Heading1"/>
        <w:pBdr>
          <w:bottom w:val="single" w:sz="8" w:space="3" w:color="F29F05"/>
        </w:pBdr>
      </w:pPr>
      <w:r>
        <w:t>5. Kellékszavatosság és termékhiba</w:t>
      </w:r>
    </w:p>
    <w:p>
      <w:pPr>
        <w:pStyle w:val="SFClause"/>
      </w:pPr>
      <w:r>
        <w:t>5.1. Termék adásvétele esetén a fogyasztó hibás teljesítési jogait a Ptk. és a 373/2021. (VI. 30.) Korm. rendelet szerint gyakorolhatja. A teljesítéstől számított egy éven belül felismert áruhiba esetén – a jogszabályi kivételekkel – vélelmezni kell, hogy a hiba már a teljesítéskor fennállt.</w:t>
      </w:r>
    </w:p>
    <w:p>
      <w:pPr>
        <w:pStyle w:val="SFClause"/>
      </w:pPr>
      <w:r>
        <w:t>5.2. Ha a hiba a Spirit Floor felelőssége alatt végzett szakszerűtlen beépítésből ered, az áru adásvételére vonatkozó szabályok szerint is hibás teljesítés állhat fenn. Ha a kijavítás vagy csere a már beépített áru eltávolítását igényli, a fogyasztói jogszabályok szerinti eltávolítási és visszaépítési kötelezettségeket is figyelembe kell venni.</w:t>
      </w:r>
    </w:p>
    <w:p>
      <w:pPr>
        <w:pStyle w:val="SFClause"/>
      </w:pPr>
      <w:r>
        <w:t>5.3. A 2026. július 31. után kötött áru-adásvételi szerződésnél az áru szerződésszerűvé tétele előtt a Spirit Floor tájékoztatja a fogyasztót arról, hogy kellékszavatossági igénye alapján – a jogszabályi feltételek szerint – kijavítást vagy kicserélést igényelhet, valamint arról, hogy kijavítás esetén a kellékszavatossági igény elévülési ideje egyszer tizenkét hónappal meghosszabbodik. A javítás idejére díjmentesen csereáru kölcsönözhető; felújított áruval történő kicserélés kizárólag a fogyasztó kifejezett kérésére alkalmazható.</w:t>
      </w:r>
    </w:p>
    <w:p>
      <w:pPr>
        <w:pStyle w:val="Heading1"/>
        <w:pBdr>
          <w:bottom w:val="single" w:sz="8" w:space="3" w:color="F29F05"/>
        </w:pBdr>
      </w:pPr>
      <w:r>
        <w:t>6. Mi nem minősül automatikusan garanciális hibának?</w:t>
      </w:r>
    </w:p>
    <w:p>
      <w:pPr>
        <w:pStyle w:val="SFClause"/>
      </w:pPr>
      <w:r>
        <w:t>6.1. Kizárás csak akkor alkalmazható, ha az adott külső körülmény és a bejelentett hiba között érdemi ok-okozati kapcsolat áll fenn. Egy külső esemény nem szünteti meg általánosan a teljes garanciát.</w:t>
      </w:r>
    </w:p>
    <w:p>
      <w:pPr>
        <w:pStyle w:val="ListBullet"/>
      </w:pPr>
      <w:r>
        <w:t>épületszerkezeti mozgás, süllyedés vagy olyan repedés, amely nem a Spirit Floor által kialakított rétegből ered;</w:t>
      </w:r>
    </w:p>
    <w:p>
      <w:pPr>
        <w:pStyle w:val="ListBullet"/>
      </w:pPr>
      <w:r>
        <w:t>beázás, csőtörés, talajnedvesség, utólagos nedvesedés vagy más külső vízterhelés;</w:t>
      </w:r>
    </w:p>
    <w:p>
      <w:pPr>
        <w:pStyle w:val="ListBullet"/>
      </w:pPr>
      <w:r>
        <w:t>a dokumentált gyártói határértékeken kívüli hőmérséklet, páratartalom vagy padlófűtés-üzemeltetés;</w:t>
      </w:r>
    </w:p>
    <w:p>
      <w:pPr>
        <w:pStyle w:val="ListBullet"/>
      </w:pPr>
      <w:r>
        <w:t>rendeltetésszerű kopás, természetes színváltozás, UV-hatás vagy a termék gyártói tűrésén belüli megjelenési eltérés;</w:t>
      </w:r>
    </w:p>
    <w:p>
      <w:pPr>
        <w:pStyle w:val="ListBullet"/>
      </w:pPr>
      <w:r>
        <w:t>mechanikai sérülés, görgős szék/bútor nem megfelelő védelme, éles tárgy, pontszerű túlterhelés, vegyi vagy hőhatás;</w:t>
      </w:r>
    </w:p>
    <w:p>
      <w:pPr>
        <w:pStyle w:val="ListBullet"/>
      </w:pPr>
      <w:r>
        <w:t>nem megfelelő tisztítás, túlzott vízhasználat vagy a gyártó által tiltott tisztítószer;</w:t>
      </w:r>
    </w:p>
    <w:p>
      <w:pPr>
        <w:pStyle w:val="ListBullet"/>
      </w:pPr>
      <w:r>
        <w:t>más szakág, harmadik személy vagy a Megrendelő utólagos bontása, fúrása, ragasztása, festése vagy egyéb beavatkozása;</w:t>
      </w:r>
    </w:p>
    <w:p>
      <w:pPr>
        <w:pStyle w:val="ListBullet"/>
      </w:pPr>
      <w:r>
        <w:t>olyan, Megrendelő által biztosított anyag rejtett hibája, amely a kivitelezéskor észszerű szakmai vizsgálattal nem volt felismerhető;</w:t>
      </w:r>
    </w:p>
    <w:p>
      <w:pPr>
        <w:pStyle w:val="ListBullet"/>
      </w:pPr>
      <w:r>
        <w:t>vis maior vagy olyan külső körülmény, amelyet a Spirit Floor nem tudott ellenőrizni vagy elhárítani.</w:t>
      </w:r>
    </w:p>
    <w:p>
      <w:pPr>
        <w:pStyle w:val="Heading1"/>
        <w:pBdr>
          <w:bottom w:val="single" w:sz="8" w:space="3" w:color="F29F05"/>
        </w:pBdr>
      </w:pPr>
      <w:r>
        <w:t>7. Figyelmeztetés ellenére kért megoldás</w:t>
      </w:r>
    </w:p>
    <w:p>
      <w:pPr>
        <w:pStyle w:val="SFClause"/>
      </w:pPr>
      <w:r>
        <w:t>7.1. Ha a Spirit Floor egy műszaki megoldást nem tart szakszerűnek vagy biztonságosan vállalhatónak, jogosult azt megtagadni. Olyan utasítást, amely jogszabályt, gyártói kötelező technológiát vagy alapvető szakmai szabályt sért, a Spirit Floor garancia nélkül sem köteles teljesíteni.</w:t>
      </w:r>
    </w:p>
    <w:p>
      <w:pPr>
        <w:pStyle w:val="SFClause"/>
      </w:pPr>
      <w:r>
        <w:t>7.2. Ha több jogszerű, de eltérő kockázatú műszaki megoldás közül a Megrendelő a dokumentált figyelmeztetés után a kockázatosabbat választja, az ebből bizonyíthatóan eredő hiba nem terheli a Spirit Floort; minden más, ettől független hibára a garancia fennmarad.</w:t>
      </w:r>
    </w:p>
    <w:p>
      <w:pPr>
        <w:pStyle w:val="Heading1"/>
        <w:pBdr>
          <w:bottom w:val="single" w:sz="8" w:space="3" w:color="F29F05"/>
        </w:pBdr>
      </w:pPr>
      <w:r>
        <w:t>8. Hibabejelentés és kivizsgálás</w:t>
      </w:r>
    </w:p>
    <w:p>
      <w:pPr>
        <w:pStyle w:val="ListNumber"/>
      </w:pPr>
      <w:r>
        <w:t>A Megrendelő a hibát a webes űrlapon vagy a kapcsolat@spiritfloor.hu címen jelenti, megadva a projektazonosítót, helyiséget, észlelés idejét és lehetőség szerint fényképeket.</w:t>
      </w:r>
    </w:p>
    <w:p>
      <w:pPr>
        <w:pStyle w:val="ListNumber"/>
      </w:pPr>
      <w:r>
        <w:t>A Spirit Floor a bejelentést haladéktalanul visszaigazolja; belső szolgáltatási célként 2 munkanapon belüli ügygazda-kijelölést alkalmaz.</w:t>
      </w:r>
    </w:p>
    <w:p>
      <w:pPr>
        <w:pStyle w:val="ListNumber"/>
      </w:pPr>
      <w:r>
        <w:t>Szükség esetén helyszíni vizsgálat történik. A Megrendelő biztosítja a hozzáférést és – ha rendelkezésére áll – átadja a használati, tisztítási, páratartalmi vagy padlófűtési adatokat.</w:t>
      </w:r>
    </w:p>
    <w:p>
      <w:pPr>
        <w:pStyle w:val="ListNumber"/>
      </w:pPr>
      <w:r>
        <w:t>A Spirit Floor a vizsgálatot dokumentálja, és a rendelkezésre álló bizonyítékok alapján megállapítja a valószínű okot, a felelősségi kört és a javítás módját.</w:t>
      </w:r>
    </w:p>
    <w:p>
      <w:pPr>
        <w:pStyle w:val="ListNumber"/>
      </w:pPr>
      <w:r>
        <w:t>Vitatott vagy összetett hiba esetén a felek gyártói vagy független szakértői vizsgálatot kezdeményezhetnek. A költség végleges viselése a felelősség és a jogszabályok szerint alakul.</w:t>
      </w:r>
    </w:p>
    <w:p>
      <w:pPr>
        <w:pStyle w:val="Heading1"/>
        <w:pBdr>
          <w:bottom w:val="single" w:sz="8" w:space="3" w:color="F29F05"/>
        </w:pBdr>
      </w:pPr>
      <w:r>
        <w:t>9. Garanciális teljesítés sorrendje</w:t>
      </w:r>
    </w:p>
    <w:p>
      <w:pPr>
        <w:pStyle w:val="SFClause"/>
      </w:pPr>
      <w:r>
        <w:t>9.1. Jogos garanciális igénynél a Spirit Floor elsődlegesen a hiba tartós és szakszerű kijavítására törekszik. Ha a javítás műszakilag nem megfelelő vagy aránytalanul sérelmes, részleges vagy teljes csere, újrakivitelezés, árleszállítás vagy a jogszabály szerinti más jogkövetkezmény alkalmazható.</w:t>
      </w:r>
    </w:p>
    <w:p>
      <w:pPr>
        <w:pStyle w:val="SFClause"/>
      </w:pPr>
      <w:r>
        <w:t>9.2. A garanciális javítás a Megrendelő számára térítésmentes. Az eljárási határidőt mindig az igény jogcíme szerint kell kiválasztani: a 19/2014. (IV. 29.) NGM rendelet kizárólag eladott ingó dolog hibájára vonatkozó szavatossági/jótállási igénynél alkalmazandó; ha az igényről a bejelentéskor nem lehet nyilatkozni, a fogyasztót a rendelet szerinti határidőben igazolhatóan értesíteni kell. Kijavítás vagy kicserélés esetén törekedni kell a tizenöt napon belüli teljesítésre, hosszabb idő esetén a fogyasztót a várható időtartamról tájékoztatni kell; bevont javítószolgálat esetén annak jogszabály szerinti státuszjelzéseit a Spirit Floor haladéktalanul továbbítja a fogyasztónak. A 249/2004. (VIII. 27.) Korm. rendelet hatálya alá tartozó javító-karbantartó szolgáltatásnál a rendelet szerinti öt munkanapos állásfoglalási szabály irányadó, ha azonnal nem dönthető el az igény; a 181/2003. (XI. 5.) Korm. rendelet hatálya alá tartozó építési jótállási igénynél a hibát tizenöt napon belül meg kell vizsgálni és az igényről nyilatkozni kell. Egyéb kivitelezési hibánál a Ptk., az egyedi szerződés és az önkéntes garancia szabályai alkalmazandók.</w:t>
      </w:r>
    </w:p>
    <w:p>
      <w:pPr>
        <w:pStyle w:val="SFClause"/>
      </w:pPr>
      <w:r>
        <w:t>9.3. Ha a vizsgálat egyértelműen nem garanciális okot állapít meg, fizetős vizsgálat vagy javítás csak a Megrendelő előzetes tájékoztatása és jóváhagyása után számítható fel.</w:t>
      </w:r>
    </w:p>
    <w:p>
      <w:pPr>
        <w:pStyle w:val="Heading1"/>
        <w:pBdr>
          <w:bottom w:val="single" w:sz="8" w:space="3" w:color="F29F05"/>
        </w:pBdr>
      </w:pPr>
      <w:r>
        <w:t>10. Javítás utáni vállalás</w:t>
      </w:r>
    </w:p>
    <w:p>
      <w:pPr>
        <w:pStyle w:val="SFClause"/>
      </w:pPr>
      <w:r>
        <w:t>10.1. A garanciális kijavítással érintett munkarészre a hátralévő eredeti önkéntes jótállási idő, de legalább 12 hónap garancia marad. Teljes cserével újrakivitelezett munkarészre az önkéntes 24 hónapos idő újraindul. Ha jogszabály ennél kedvezőbb szabályt ír elő, az alkalmazandó.</w:t>
      </w:r>
    </w:p>
    <w:p>
      <w:pPr>
        <w:pStyle w:val="Heading1"/>
        <w:pBdr>
          <w:bottom w:val="single" w:sz="8" w:space="3" w:color="F29F05"/>
        </w:pBdr>
      </w:pPr>
      <w:r>
        <w:t>11. Határidő-garancia</w:t>
      </w:r>
    </w:p>
    <w:p>
      <w:pPr>
        <w:pStyle w:val="SFClause"/>
      </w:pPr>
      <w:r>
        <w:t>11.1. Ha a fix, írásban visszaigazolt munkakezdési nap kizárólag a Spirit Floor saját érdekkörében felmerült okból csúszik, miközben a Megrendelő minden munkakezdési feltételt teljesített, a Spirit Floor az érintett munkadíjból teljes munkanaponként 5%, legfeljebb 20% kedvezményt ad.</w:t>
      </w:r>
    </w:p>
    <w:p>
      <w:pPr>
        <w:pStyle w:val="SFClause"/>
      </w:pPr>
      <w:r>
        <w:t>11.2. Az egyedi megrendelés kiemelt határidő esetén ennél kedvezőbb, például napi 10%-os, felső korláttal meghatározott vállalást tartalmazhat. A külön önkéntes kedvezmény nem jár olyan igazolt külső akadály esetén, amelyért a Spirit Floor a szerződés és jogszabály szerint nem felel, így különösen vis maior, más szakág, munkaterületi akadály, fogadófelületi alkalmatlanság, megrendelői módosítás vagy kötelező technológiai várakozás esetén. Anyagellátási vagy gyártói késedelem csak akkor zárja ki e külön kedvezményt, ha az adott késedelemért a Spirit Floor jogszabály vagy szerződés alapján nem felel. Ez nem korlátozza a fogyasztó jogszabályon alapuló késedelmi jogait.</w:t>
      </w:r>
    </w:p>
    <w:p>
      <w:pPr>
        <w:pStyle w:val="Heading1"/>
        <w:pBdr>
          <w:bottom w:val="single" w:sz="8" w:space="3" w:color="F29F05"/>
        </w:pBdr>
      </w:pPr>
      <w:r>
        <w:t>12. Bizalmi garancia – eltulajdonítás</w:t>
      </w:r>
    </w:p>
    <w:p>
      <w:pPr>
        <w:pStyle w:val="SFClause"/>
      </w:pPr>
      <w:r>
        <w:t>12.1. Ha objektív bizonyíték alapján megállapítható, hogy a munkaterületről történő eltulajdonítást a Spirit Floor munkavállalója vagy közreműködője követte el, a Spirit Floor a jogszabály szerint megtérítendő, igazolt káron felül a projekt érintett munkadíjából 25% kedvezményt biztosít. A felek a káreseményt azonnal dokumentálják, és szükség szerint hatósági eljárásban közreműködnek.</w:t>
      </w:r>
    </w:p>
    <w:p>
      <w:pPr>
        <w:pStyle w:val="Heading1"/>
        <w:pBdr>
          <w:bottom w:val="single" w:sz="8" w:space="3" w:color="F29F05"/>
        </w:pBdr>
      </w:pPr>
      <w:r>
        <w:t>13. Hibás vagy sérült anyag a kivitelezés előtt</w:t>
      </w:r>
    </w:p>
    <w:p>
      <w:pPr>
        <w:pStyle w:val="SFClause"/>
      </w:pPr>
      <w:r>
        <w:t>13.1. Ha a kiszállított vagy felbontott anyag hibája miatt a szakszerű kivitelezés nem kezdhető meg vagy nem folytatható, a Spirit Floor a munkát az érintett részen felfüggeszti, az állapotot dokumentálja, és a Megrendelővel egyezteti a csere, beszállítói reklamáció, más tétel vagy ütemezés lehetőségét. A Spirit Floor nem épít be ismerten hibás anyagot pusztán a határidő tartása érdekében.</w:t>
      </w:r>
    </w:p>
    <w:p>
      <w:pPr>
        <w:pStyle w:val="Heading1"/>
        <w:pBdr>
          <w:bottom w:val="single" w:sz="8" w:space="3" w:color="F29F05"/>
        </w:pBdr>
      </w:pPr>
      <w:r>
        <w:t>14. Garancia érvényessége ingatlan eladása esetén</w:t>
      </w:r>
    </w:p>
    <w:p>
      <w:pPr>
        <w:pStyle w:val="SFClause"/>
      </w:pPr>
      <w:r>
        <w:t>14.1. A Spirit Floor önkéntes kivitelezési garanciája a konkrét projekthez és burkolathoz kapcsolódik. Tulajdonosváltozás esetén az új tulajdonos a projektazonosító, számla/szerződés és átadási dokumentáció bemutatásával a hátralévő időre érvényesítheti, feltéve, hogy a burkolat használati és karbantartási feltételei igazolhatóan fennálltak.</w:t>
      </w:r>
    </w:p>
    <w:p>
      <w:pPr>
        <w:pStyle w:val="Heading1"/>
        <w:pBdr>
          <w:bottom w:val="single" w:sz="8" w:space="3" w:color="F29F05"/>
        </w:pBdr>
      </w:pPr>
      <w:r>
        <w:t>15. Spirit Floor önkéntes garanciaigazolás – átadáskor kitöltendő</w:t>
      </w:r>
    </w:p>
    <w:p>
      <w:pPr/>
      <w:r>
        <w:t>15.1. Ez a lap a Spirit Floor önkéntes kivitelezési/rendszergaranciájának igazolására szolgál. Nem helyettesíti a 181/2003. (XI. 5.) Korm. rendelet vagy a 249/2004. (VIII. 27.) Korm. rendelet alapján esetleg kötelezően kiállítandó jótállási jegyet. Ha valamely kötelező jótállási szabály alkalmazandó, a jogszabály szerinti adattartalmú külön jótállási jegyet is át kell adni a fogyasztónak.</w:t>
      </w:r>
    </w:p>
    <w:tbl>
      <w:tblPr>
        <w:tblW w:type="auto" w:w="0"/>
        <w:jc w:val="center"/>
        <w:tblLayout w:type="autofit"/>
        <w:tblLook w:firstColumn="1" w:firstRow="1" w:lastColumn="0" w:lastRow="0" w:noHBand="0" w:noVBand="1" w:val="04A0"/>
      </w:tblPr>
      <w:tblGrid>
        <w:gridCol w:w="4888"/>
        <w:gridCol w:w="4888"/>
      </w:tblGrid>
      <w:tr>
        <w:trPr>
          <w:tblHeader w:val="true"/>
          <w:tblHeader w:val="true"/>
          <w:tblHeader w:val="true"/>
          <w:tblHeader w:val="true"/>
        </w:trPr>
        <w:tc>
          <w:tcPr>
            <w:tcW w:type="dxa" w:w="4888"/>
            <w:shd w:fill="2D221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FFFFFF"/>
                <w:sz w:val="16"/>
              </w:rPr>
              <w:t>Adatmező</w:t>
            </w:r>
          </w:p>
        </w:tc>
        <w:tc>
          <w:tcPr>
            <w:tcW w:type="dxa" w:w="4888"/>
            <w:shd w:fill="2D221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b/>
                <w:color w:val="FFFFFF"/>
                <w:sz w:val="16"/>
              </w:rPr>
              <w:t>Adat</w:t>
            </w:r>
          </w:p>
        </w:tc>
      </w:tr>
      <w:tr>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color w:val="222222"/>
                <w:sz w:val="16"/>
              </w:rPr>
              <w:t>Projektazonosító</w:t>
            </w:r>
          </w:p>
        </w:tc>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r>
          </w:p>
        </w:tc>
      </w:tr>
      <w:tr>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color w:val="222222"/>
                <w:sz w:val="16"/>
              </w:rPr>
              <w:t>Megrendelő</w:t>
            </w:r>
          </w:p>
        </w:tc>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r>
          </w:p>
        </w:tc>
      </w:tr>
      <w:tr>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color w:val="222222"/>
                <w:sz w:val="16"/>
              </w:rPr>
              <w:t>Helyszín</w:t>
            </w:r>
          </w:p>
        </w:tc>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r>
          </w:p>
        </w:tc>
      </w:tr>
      <w:tr>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color w:val="222222"/>
                <w:sz w:val="16"/>
              </w:rPr>
              <w:t>Burkolattípus és gyártó</w:t>
            </w:r>
          </w:p>
        </w:tc>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r>
          </w:p>
        </w:tc>
      </w:tr>
      <w:tr>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color w:val="222222"/>
                <w:sz w:val="16"/>
              </w:rPr>
              <w:t>Rendszeranyagok</w:t>
            </w:r>
          </w:p>
        </w:tc>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r>
          </w:p>
        </w:tc>
      </w:tr>
      <w:tr>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color w:val="222222"/>
                <w:sz w:val="16"/>
              </w:rPr>
              <w:t>Spirit Floor önkéntes garancia kezdőnapja / jogcíme</w:t>
            </w:r>
          </w:p>
        </w:tc>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t>[dátum; átadás-átvétel lezárása / Ptk. 6:247. § (4) szerinti tényleges birtokbavétel]</w:t>
            </w:r>
          </w:p>
        </w:tc>
      </w:tr>
      <w:tr>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color w:val="222222"/>
                <w:sz w:val="16"/>
              </w:rPr>
              <w:t>Spirit Floor önkéntes garancia vége</w:t>
            </w:r>
          </w:p>
        </w:tc>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r>
          </w:p>
        </w:tc>
      </w:tr>
      <w:tr>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color w:val="222222"/>
                <w:sz w:val="16"/>
              </w:rPr>
              <w:t>Jogszabályi kötelező jótállás alkalmazandó?</w:t>
            </w:r>
          </w:p>
        </w:tc>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r>
          </w:p>
        </w:tc>
      </w:tr>
      <w:tr>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color w:val="222222"/>
                <w:sz w:val="16"/>
              </w:rPr>
              <w:t>Karbantartási útmutató átadva</w:t>
            </w:r>
          </w:p>
        </w:tc>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r>
          </w:p>
        </w:tc>
      </w:tr>
      <w:tr>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color w:val="222222"/>
                <w:sz w:val="16"/>
              </w:rPr>
              <w:t>Megjegyzés</w:t>
            </w:r>
          </w:p>
        </w:tc>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r>
          </w:p>
        </w:tc>
      </w:tr>
      <w:tr>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color w:val="222222"/>
                <w:sz w:val="16"/>
              </w:rPr>
              <w:t>Spirit Floor aláírás</w:t>
            </w:r>
          </w:p>
        </w:tc>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r>
          </w:p>
        </w:tc>
      </w:tr>
      <w:tr>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shd w:fill="FAF8F5"/>
          </w:tcPr>
          <w:p>
            <w:pPr>
              <w:spacing w:after="36" w:line="245" w:lineRule="auto"/>
            </w:pPr>
            <w:r>
              <w:rPr>
                <w:rFonts w:ascii="Inter" w:hAnsi="Inter" w:eastAsia="Inter"/>
                <w:color w:val="222222"/>
                <w:sz w:val="16"/>
              </w:rPr>
              <w:t>Megrendelő átvette</w:t>
            </w:r>
          </w:p>
        </w:tc>
        <w:tc>
          <w:tcPr>
            <w:tcW w:type="dxa" w:w="4888"/>
            <w:vAlign w:val="center"/>
            <w:tcMar>
              <w:top w:w="70" w:type="dxa"/>
              <w:start w:w="90" w:type="dxa"/>
              <w:bottom w:w="70" w:type="dxa"/>
              <w:end w:w="90" w:type="dxa"/>
            </w:tcMar>
            <w:tcBorders>
              <w:top w:val="single" w:sz="3" w:color="D9D4CE"/>
              <w:left w:val="single" w:sz="3" w:color="D9D4CE"/>
              <w:bottom w:val="single" w:sz="3" w:color="D9D4CE"/>
              <w:right w:val="single" w:sz="3" w:color="D9D4CE"/>
            </w:tcBorders>
          </w:tcPr>
          <w:p>
            <w:pPr>
              <w:spacing w:after="36" w:line="245" w:lineRule="auto"/>
            </w:pPr>
            <w:r>
              <w:rPr>
                <w:rFonts w:ascii="Inter" w:hAnsi="Inter" w:eastAsia="Inter"/>
                <w:color w:val="222222"/>
                <w:sz w:val="16"/>
              </w:rPr>
            </w:r>
          </w:p>
        </w:tc>
      </w:tr>
      <w:tr>
        <w:tc>
          <w:tcPr>
            <w:tcW w:type="dxa" w:w="4888"/>
          </w:tcPr>
          <w:p>
            <w:r>
              <w:t>Igazolás jogcíme</w:t>
            </w:r>
          </w:p>
        </w:tc>
        <w:tc>
          <w:tcPr>
            <w:tcW w:type="dxa" w:w="4888"/>
          </w:tcPr>
          <w:p>
            <w:r>
              <w:t>☐ Spirit Floor Kivitelezési Garancia  ☐ Spirit Floor Rendszergarancia</w:t>
            </w:r>
          </w:p>
        </w:tc>
      </w:tr>
      <w:tr>
        <w:tc>
          <w:tcPr>
            <w:tcW w:type="dxa" w:w="4888"/>
          </w:tcPr>
          <w:p>
            <w:r>
              <w:t>Kötelező jótállási jegy külön átadva, ha alkalmazandó</w:t>
            </w:r>
          </w:p>
        </w:tc>
        <w:tc>
          <w:tcPr>
            <w:tcW w:type="dxa" w:w="4888"/>
          </w:tcPr>
          <w:p>
            <w:r>
              <w:t>☐ igen  ☐ nem alkalmazandó; jogszabály/jogcím: [KITÖLTENDŐ]</w:t>
            </w:r>
          </w:p>
        </w:tc>
      </w:tr>
    </w:tbl>
    <w:p>
      <w:r>
        <w:t>15.2. Kötelező jótállási dokumentum kiadási kapu. Átadáskor minden projektnél dokumentáltan ellenőrizni kell, hogy alkalmazandó-e a 181/2003. vagy a 249/2004. Korm. rendelet, továbbá termékértékesítésnél először azt, hogy az értékesített termék egyáltalán szerepel-e a 10/2024. (VI. 28.) IM rendelet szerinti termékkörben. Csak ilyen terméknél kell továbblépni a 151/2003. Korm. rendelet értékhatár- és személyi-hatály vizsgálatára. A 181/2003. és 249/2004. rendelet hatálya esetén az önkéntes Spirit Floor garanciaigazoláson felül az adott jogszabály szerinti jótállási jegyet kell átadni. A 151/2003. rendelet alkalmazandósága esetén a jótállási jegy kiadása az eladási ártól függ: legfeljebb 100 000 Ft-nál külön jótállási jegy nem kötelező, 100 000 Ft felett viszont a jogszabály szerinti jótállási jegyet át kell adni; a kötelező fogyasztói tájékoztatást minden esetben biztosítani kell.</w:t>
      </w:r>
    </w:p>
    <w:p>
      <w:r>
        <w:t>15.3. A 181/2003. szerinti jótállási jegyen legalább rögzítendő: a jótállás körébe tartozó lakás/építmény és érintett szerkezetek vagy berendezések meghatározása; a jogosultat megillető jogok, határidők és feltételek; a vállalkozó és a javításra kijelölt szervezet neve és címe; a műszaki átadás-átvételi eljárás befejezésének időpontja; valamint az a tájékoztatás, hogy a jótállás a jogosult jogszabályból eredő jogait nem érinti.</w:t>
      </w:r>
    </w:p>
    <w:p>
      <w:r>
        <w:t>15.4. A 249/2004. szerinti jótállási jegyen legalább rögzítendő: a vállalkozás neve és címe; az elvégzett szolgáltatás és a felhasznált alkatrészek/anyagok; a szolgáltatás díja; a jótállási jogok, feltételek és határidők, valamint a békéltető testületre vonatkozó tájékoztatás; a dolog visszaadásának időpontja; továbbá az a tájékoztatás, hogy a jótállás a fogyasztó jogszabályból eredő jogait nem érinti.</w:t>
      </w:r>
    </w:p>
    <w:p>
      <w:r>
        <w:t>15.5. A 151/2003. szerinti kötelező jótállásnál a vizsgálati sorrend: (1) szerepel-e az adott termék a 10/2024. (VI. 28.) IM rendeletben; (2) eléri-e a jogszabályi értékhatárt; (3) fennáll-e a személyi hatály; (4) milyen jótállási idő és dokumentumkiadási szabály érvényes az értékesítés napján. A 2026. szeptember 15-i terméklista alapján a Spirit Floor tipikus padló- és falburkoló anyagai nem tekintendők automatikusan e rendelet szerinti tartós fogyasztási cikknek. Ha viszont alkalmazandó listás termék kerül értékesítésre, a személyi hatály ellenőrzésekor a 2026. március 1-jétől bevont, kiskereskedelmi vásárlást végző mikro-, kis- és középvállalkozásokat is vizsgálni kell.</w:t>
      </w:r>
    </w:p>
    <w:p>
      <w:pPr>
        <w:pStyle w:val="Heading1"/>
        <w:pBdr>
          <w:bottom w:val="single" w:sz="8" w:space="3" w:color="F29F05"/>
        </w:pBdr>
      </w:pPr>
      <w:r>
        <w:t>16. Jogszabályi háttér</w:t>
      </w:r>
    </w:p>
    <w:p>
      <w:pPr>
        <w:pStyle w:val="SFSource"/>
      </w:pPr>
      <w:r>
        <w:t>Ptk. – 2013. évi V. törvény</w:t>
      </w:r>
    </w:p>
    <w:p>
      <w:pPr>
        <w:pStyle w:val="SFSource"/>
      </w:pPr>
      <w:r>
        <w:t>373/2021. (VI. 30.) Korm. rendelet</w:t>
      </w:r>
    </w:p>
    <w:p>
      <w:pPr>
        <w:pStyle w:val="SFSource"/>
      </w:pPr>
      <w:r>
        <w:t>19/2014. (IV. 29.) NGM rendelet</w:t>
      </w:r>
    </w:p>
    <w:p>
      <w:pPr>
        <w:pStyle w:val="SFSource"/>
      </w:pPr>
      <w:r>
        <w:t>249/2004. (VIII. 27.) Korm. rendelet</w:t>
      </w:r>
    </w:p>
    <w:p>
      <w:pPr>
        <w:pStyle w:val="SFSource"/>
      </w:pPr>
      <w:r>
        <w:t>181/2003. (XI. 5.) Korm. rendelet</w:t>
      </w:r>
    </w:p>
    <w:p>
      <w:pPr>
        <w:pStyle w:val="SFSource"/>
      </w:pPr>
      <w:r>
        <w:t>151/2003. (IX. 22.) Korm. rendelet</w:t>
      </w:r>
    </w:p>
    <w:p>
      <w:pPr>
        <w:pStyle w:val="SFSource"/>
      </w:pPr>
      <w:r>
        <w:t>10/2024. (VI. 28.) IM rendelet</w:t>
      </w:r>
    </w:p>
    <w:p>
      <w:pPr>
        <w:pStyle w:val="SFSource"/>
      </w:pPr>
      <w:r>
        <w:t>114/2026. (VII. 23.) Korm. rendelet</w:t>
      </w:r>
    </w:p>
    <w:sectPr>
      <w:headerReference w:type="default" r:id="rId9"/>
      <w:footerReference w:type="default" r:id="rId10"/>
      <w:headerReference w:type="first" r:id="rId12"/>
      <w:headerReference w:type="even" r:id="rId13"/>
      <w:footerReference w:type="first" r:id="rId14"/>
      <w:footerReference w:type="even" r:id="rId15"/>
      <w:pgSz w:w="11909" w:h="16834"/>
      <w:pgMar w:top="1037" w:right="1066" w:bottom="979" w:left="1066" w:header="346"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4860"/>
      <w:gridCol w:w="4860"/>
    </w:tblGrid>
    <w:tr>
      <w:tc>
        <w:tcPr>
          <w:tcW w:type="dxa" w:w="6912"/>
          <w:tcBorders>
            <w:top w:val="single" w:sz="4" w:color="D9D4CE" w:space="0"/>
          </w:tcBorders>
          <w:tcMar>
            <w:top w:w="30" w:type="dxa"/>
            <w:start w:w="20" w:type="dxa"/>
            <w:bottom w:w="10" w:type="dxa"/>
            <w:end w:w="20" w:type="dxa"/>
          </w:tcMar>
        </w:tcPr>
        <w:p>
          <w:pPr>
            <w:jc w:val="left"/>
          </w:pPr>
          <w:r>
            <w:rPr>
              <w:rFonts w:ascii="Inter" w:hAnsi="Inter"/>
              <w:color w:val="676767"/>
              <w:sz w:val="14"/>
            </w:rPr>
            <w:t>SF-JOG-07  •  v3.0  •  Spirit Floor Kft.</w:t>
          </w:r>
        </w:p>
      </w:tc>
      <w:tc>
        <w:tcPr>
          <w:tcW w:type="dxa" w:w="2808"/>
          <w:tcBorders>
            <w:top w:val="single" w:sz="4" w:color="D9D4CE" w:space="0"/>
          </w:tcBorders>
          <w:tcMar>
            <w:top w:w="30" w:type="dxa"/>
            <w:start w:w="20" w:type="dxa"/>
            <w:bottom w:w="10" w:type="dxa"/>
            <w:end w:w="20" w:type="dxa"/>
          </w:tcMar>
        </w:tcPr>
        <w:p>
          <w:pPr>
            <w:jc w:val="right"/>
          </w:pPr>
          <w:r>
            <w:rPr>
              <w:rFonts w:ascii="Inter" w:hAnsi="Inter"/>
              <w:color w:val="676767"/>
              <w:sz w:val="14"/>
            </w:rPr>
            <w:t xml:space="preserve">Oldal </w:t>
            <w:fldChar w:fldCharType="begin"/>
            <w:instrText xml:space="preserve">PAGE</w:instrText>
            <w:fldChar w:fldCharType="end"/>
          </w:r>
          <w:r>
            <w:rPr>
              <w:color w:val="676767"/>
              <w:sz w:val="14"/>
            </w:rPr>
            <w:t xml:space="preserve"> / </w:t>
            <w:fldChar w:fldCharType="begin"/>
            <w:instrText xml:space="preserve">NUMPAGES</w:instrText>
            <w:fldChar w:fldCharType="end"/>
          </w:r>
        </w:p>
      </w:tc>
    </w:tr>
  </w:tbl>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tbl>
    <w:tblPr>
      <w:tblW w:type="auto" w:w="0"/>
      <w:jc w:val="center"/>
      <w:tblLayout w:type="fixed"/>
      <w:tblLook w:firstColumn="1" w:firstRow="1" w:lastColumn="0" w:lastRow="0" w:noHBand="0" w:noVBand="1" w:val="04A0"/>
    </w:tblPr>
    <w:tblGrid>
      <w:gridCol w:w="1008"/>
      <w:gridCol w:w="8640"/>
    </w:tblGrid>
    <w:tr>
      <w:tc>
        <w:tcPr>
          <w:tcW w:type="dxa" w:w="1008"/>
          <w:tcBorders>
            <w:bottom w:val="single" w:sz="10" w:color="F29F05" w:space="0"/>
          </w:tcBorders>
          <w:tcMar>
            <w:top w:w="20" w:type="dxa"/>
            <w:start w:w="20" w:type="dxa"/>
            <w:bottom w:w="30" w:type="dxa"/>
            <w:end w:w="20" w:type="dxa"/>
          </w:tcMar>
        </w:tcPr>
        <w:p>
          <w:pPr>
            <w:jc w:val="left"/>
          </w:pPr>
          <w:r>
            <w:drawing>
              <wp:inline xmlns:a="http://schemas.openxmlformats.org/drawingml/2006/main" xmlns:pic="http://schemas.openxmlformats.org/drawingml/2006/picture">
                <wp:extent cx="292608" cy="306905"/>
                <wp:docPr id="1" name="Picture 1" descr="Spirit Floor logó"/>
                <wp:cNvGraphicFramePr>
                  <a:graphicFrameLocks noChangeAspect="1"/>
                </wp:cNvGraphicFramePr>
                <a:graphic>
                  <a:graphicData uri="http://schemas.openxmlformats.org/drawingml/2006/picture">
                    <pic:pic>
                      <pic:nvPicPr>
                        <pic:cNvPr id="0" name="spirit_logo.png"/>
                        <pic:cNvPicPr/>
                      </pic:nvPicPr>
                      <pic:blipFill>
                        <a:blip r:embed="rId1"/>
                        <a:stretch>
                          <a:fillRect/>
                        </a:stretch>
                      </pic:blipFill>
                      <pic:spPr>
                        <a:xfrm>
                          <a:off x="0" y="0"/>
                          <a:ext cx="292608" cy="306905"/>
                        </a:xfrm>
                        <a:prstGeom prst="rect"/>
                      </pic:spPr>
                    </pic:pic>
                  </a:graphicData>
                </a:graphic>
              </wp:inline>
            </w:drawing>
          </w:r>
        </w:p>
      </w:tc>
      <w:tc>
        <w:tcPr>
          <w:tcW w:type="dxa" w:w="8640"/>
          <w:tcBorders>
            <w:bottom w:val="single" w:sz="10" w:color="F29F05" w:space="0"/>
          </w:tcBorders>
          <w:tcMar>
            <w:top w:w="20" w:type="dxa"/>
            <w:start w:w="20" w:type="dxa"/>
            <w:bottom w:w="30" w:type="dxa"/>
            <w:end w:w="20" w:type="dxa"/>
          </w:tcMar>
        </w:tcPr>
        <w:p>
          <w:pPr>
            <w:jc w:val="right"/>
          </w:pPr>
          <w:r>
            <w:rPr>
              <w:rFonts w:ascii="Inter" w:hAnsi="Inter"/>
              <w:b/>
              <w:color w:val="2D2218"/>
              <w:sz w:val="14"/>
            </w:rPr>
            <w:t>SPIRIT FLOOR  •  GARANCIÁLIS FELTÉTELEK</w:t>
          </w:r>
        </w:p>
      </w:tc>
    </w:tr>
  </w:tbl>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271" w:lineRule="auto"/>
    </w:pPr>
    <w:rPr>
      <w:rFonts w:ascii="Inter" w:hAnsi="Inter" w:eastAsia="Inter"/>
      <w:color w:val="22222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Noto Serif Display" w:hAnsi="Noto Serif Display" w:eastAsia="Noto Serif Display"/>
      <w:b w:val="0"/>
      <w:bCs/>
      <w:color w:val="2D2218"/>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Inter" w:hAnsi="Inter" w:eastAsia="Inter"/>
      <w:b/>
      <w:bCs/>
      <w:color w:val="2D2218"/>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Inter" w:hAnsi="Inter" w:eastAsia="Inter"/>
      <w:b/>
      <w:bCs/>
      <w:color w:val="D989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Inter" w:hAnsi="Inter" w:eastAsia="Inter"/>
      <w:sz w:val="18"/>
    </w:rPr>
  </w:style>
  <w:style w:type="paragraph" w:styleId="ListBullet2">
    <w:name w:val="List Bullet 2"/>
    <w:basedOn w:val="Normal"/>
    <w:uiPriority w:val="99"/>
    <w:unhideWhenUsed/>
    <w:rsid w:val="00326F90"/>
    <w:pPr>
      <w:numPr>
        <w:numId w:val="2"/>
      </w:numPr>
      <w:contextualSpacing/>
    </w:pPr>
    <w:rPr>
      <w:rFonts w:ascii="Inter" w:hAnsi="Inter" w:eastAsia="Inter"/>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Inter" w:hAnsi="Inter" w:eastAsia="Inter"/>
      <w:sz w:val="18"/>
    </w:rPr>
  </w:style>
  <w:style w:type="paragraph" w:styleId="ListNumber2">
    <w:name w:val="List Number 2"/>
    <w:basedOn w:val="Normal"/>
    <w:uiPriority w:val="99"/>
    <w:unhideWhenUsed/>
    <w:rsid w:val="0029639D"/>
    <w:pPr>
      <w:numPr>
        <w:numId w:val="6"/>
      </w:numPr>
      <w:contextualSpacing/>
    </w:pPr>
    <w:rPr>
      <w:rFonts w:ascii="Inter" w:hAnsi="Inter" w:eastAsia="Inter"/>
      <w:sz w:val="18"/>
    </w:r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FEyebrow">
    <w:name w:val="SF Eyebrow"/>
    <w:pPr>
      <w:keepNext/>
      <w:spacing w:after="80"/>
    </w:pPr>
    <w:rPr>
      <w:rFonts w:ascii="Inter" w:hAnsi="Inter"/>
      <w:b/>
      <w:caps/>
      <w:color w:val="D98900"/>
      <w:sz w:val="16"/>
    </w:rPr>
  </w:style>
  <w:style w:type="paragraph" w:customStyle="1" w:styleId="SFLead">
    <w:name w:val="SF Lead"/>
    <w:pPr>
      <w:spacing w:after="160" w:line="288" w:lineRule="auto"/>
    </w:pPr>
    <w:rPr>
      <w:rFonts w:ascii="Inter" w:hAnsi="Inter"/>
      <w:color w:val="676767"/>
      <w:sz w:val="21"/>
    </w:rPr>
  </w:style>
  <w:style w:type="paragraph" w:customStyle="1" w:styleId="SFNote">
    <w:name w:val="SF Note"/>
    <w:pPr>
      <w:spacing w:before="100" w:after="120"/>
      <w:ind w:left="173" w:right="115"/>
    </w:pPr>
    <w:rPr>
      <w:rFonts w:ascii="Inter" w:hAnsi="Inter"/>
      <w:color w:val="222222"/>
      <w:sz w:val="17"/>
    </w:rPr>
  </w:style>
  <w:style w:type="paragraph" w:customStyle="1" w:styleId="SFSource">
    <w:name w:val="SF Source"/>
    <w:pPr>
      <w:spacing w:after="40"/>
    </w:pPr>
    <w:rPr>
      <w:rFonts w:ascii="Inter" w:hAnsi="Inter"/>
      <w:color w:val="676767"/>
      <w:sz w:val="15"/>
    </w:rPr>
  </w:style>
  <w:style w:type="paragraph" w:customStyle="1" w:styleId="SFSmall">
    <w:name w:val="SF Small"/>
    <w:pPr>
      <w:spacing w:after="40"/>
    </w:pPr>
    <w:rPr>
      <w:rFonts w:ascii="Inter" w:hAnsi="Inter"/>
      <w:color w:val="676767"/>
      <w:sz w:val="16"/>
    </w:rPr>
  </w:style>
  <w:style w:type="paragraph" w:customStyle="1" w:styleId="SFClause">
    <w:name w:val="SF Clause"/>
    <w:pPr>
      <w:spacing w:after="100" w:line="274" w:lineRule="auto"/>
    </w:pPr>
    <w:rPr>
      <w:rFonts w:ascii="Inter" w:hAnsi="Inter"/>
      <w:color w:val="222222"/>
      <w:sz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eader" Target="header2.xml"/><Relationship Id="rId13" Type="http://schemas.openxmlformats.org/officeDocument/2006/relationships/header" Target="header3.xml"/><Relationship Id="rId14" Type="http://schemas.openxmlformats.org/officeDocument/2006/relationships/footer" Target="footer2.xml"/><Relationship Id="rId15"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